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简体" w:hAnsi="宋体" w:eastAsia="方正小标宋简体"/>
          <w:b/>
          <w:sz w:val="44"/>
          <w:szCs w:val="44"/>
          <w:lang w:val="en-US" w:eastAsia="zh-CN"/>
        </w:rPr>
      </w:pPr>
      <w:r>
        <w:rPr>
          <w:rFonts w:hint="eastAsia" w:ascii="方正小标宋简体" w:hAnsi="宋体" w:eastAsia="方正小标宋简体"/>
          <w:b/>
          <w:sz w:val="44"/>
          <w:szCs w:val="44"/>
        </w:rPr>
        <w:t>辽宁广告职业学院202</w:t>
      </w:r>
      <w:r>
        <w:rPr>
          <w:rFonts w:hint="eastAsia" w:ascii="方正小标宋简体" w:hAnsi="宋体" w:eastAsia="方正小标宋简体"/>
          <w:b/>
          <w:sz w:val="44"/>
          <w:szCs w:val="44"/>
          <w:lang w:val="en-US" w:eastAsia="zh-CN"/>
        </w:rPr>
        <w:t>2</w:t>
      </w:r>
      <w:r>
        <w:rPr>
          <w:rFonts w:hint="eastAsia" w:ascii="方正小标宋简体" w:hAnsi="宋体" w:eastAsia="方正小标宋简体"/>
          <w:b/>
          <w:sz w:val="44"/>
          <w:szCs w:val="44"/>
        </w:rPr>
        <w:t>年度工作</w:t>
      </w:r>
      <w:r>
        <w:rPr>
          <w:rFonts w:hint="eastAsia" w:ascii="方正小标宋简体" w:hAnsi="宋体" w:eastAsia="方正小标宋简体"/>
          <w:b/>
          <w:sz w:val="44"/>
          <w:szCs w:val="44"/>
          <w:lang w:val="en-US" w:eastAsia="zh-CN"/>
        </w:rPr>
        <w:t>总结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一、党建与思想政治工作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（一）党建工作</w:t>
      </w:r>
    </w:p>
    <w:p>
      <w:pPr>
        <w:keepNext w:val="0"/>
        <w:keepLines w:val="0"/>
        <w:pageBreakBefore w:val="0"/>
        <w:kinsoku/>
        <w:wordWrap/>
        <w:overflowPunct/>
        <w:topLinePunct w:val="0"/>
        <w:autoSpaceDE/>
        <w:autoSpaceDN/>
        <w:bidi w:val="0"/>
        <w:adjustRightInd/>
        <w:snapToGrid/>
        <w:spacing w:line="600" w:lineRule="exact"/>
        <w:ind w:firstLine="630" w:firstLineChars="197"/>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学校党委在省委教育工委的坚强领导下，坚持以习近平新时代中国特色社会主义思想为指导，</w:t>
      </w:r>
      <w:r>
        <w:rPr>
          <w:rFonts w:hint="eastAsia" w:ascii="仿宋_GB2312" w:hAnsi="仿宋_GB2312" w:eastAsia="仿宋_GB2312" w:cs="仿宋_GB2312"/>
          <w:sz w:val="32"/>
          <w:szCs w:val="32"/>
        </w:rPr>
        <w:t>坚持党建和事业发展实质性融合，学校党的建设和事业发展取得新成效。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.党组织发挥战斗堡垒作用，强化思想引领，引导和监督民办高校全面贯彻党的教育方针情况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（1）加强党委理论学习中心组学习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学校党委始终坚持社会主义办学方向、坚持把党的政治建设放在首位，把抓好党委理论学习中心组学习作为加强领导班子成员党性修养、保持政治定力的重要途径，</w:t>
      </w:r>
      <w:r>
        <w:rPr>
          <w:rFonts w:hint="eastAsia" w:ascii="仿宋_GB2312" w:hAnsi="仿宋_GB2312" w:eastAsia="仿宋_GB2312" w:cs="仿宋_GB2312"/>
          <w:bCs/>
          <w:snapToGrid w:val="0"/>
          <w:sz w:val="32"/>
          <w:szCs w:val="32"/>
        </w:rPr>
        <w:t>根据学</w:t>
      </w:r>
      <w:r>
        <w:rPr>
          <w:rFonts w:hint="eastAsia" w:ascii="仿宋_GB2312" w:hAnsi="仿宋_GB2312" w:eastAsia="仿宋_GB2312" w:cs="仿宋_GB2312"/>
          <w:bCs/>
          <w:snapToGrid w:val="0"/>
          <w:kern w:val="0"/>
          <w:sz w:val="32"/>
          <w:szCs w:val="32"/>
        </w:rPr>
        <w:t>校</w:t>
      </w:r>
      <w:r>
        <w:rPr>
          <w:rFonts w:hint="eastAsia" w:ascii="仿宋_GB2312" w:hAnsi="仿宋_GB2312" w:eastAsia="仿宋_GB2312" w:cs="仿宋_GB2312"/>
          <w:bCs/>
          <w:snapToGrid w:val="0"/>
          <w:sz w:val="32"/>
          <w:szCs w:val="32"/>
        </w:rPr>
        <w:t>实际，将参会人员范围扩大到行政领导班子及党委各职能部门负责同志，</w:t>
      </w:r>
      <w:r>
        <w:rPr>
          <w:rFonts w:hint="eastAsia" w:ascii="仿宋_GB2312" w:hAnsi="仿宋_GB2312" w:eastAsia="仿宋_GB2312" w:cs="仿宋_GB2312"/>
          <w:bCs/>
          <w:snapToGrid w:val="0"/>
          <w:kern w:val="0"/>
          <w:sz w:val="32"/>
          <w:szCs w:val="32"/>
        </w:rPr>
        <w:t>切实发挥好党委政治核心作用。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（2）学习宣传贯彻党的二十大精神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学校党委及时下发《关于开展学习党的二十大精神“百万党员大宣讲”活动的通知》《关于组织全校师生认真学习贯彻党的二十大精神的通知》，</w:t>
      </w:r>
      <w:r>
        <w:rPr>
          <w:rFonts w:hint="eastAsia" w:ascii="仿宋_GB2312" w:hAnsi="仿宋_GB2312" w:eastAsia="仿宋_GB2312" w:cs="仿宋_GB2312"/>
          <w:sz w:val="32"/>
          <w:szCs w:val="32"/>
        </w:rPr>
        <w:t>由校领导、思政课教师、优秀辅导员代表组成的二十大精神宣讲团通过</w:t>
      </w:r>
      <w:r>
        <w:rPr>
          <w:rFonts w:hint="eastAsia" w:ascii="仿宋_GB2312" w:hAnsi="仿宋_GB2312" w:eastAsia="仿宋_GB2312" w:cs="仿宋_GB2312"/>
          <w:bCs/>
          <w:snapToGrid w:val="0"/>
          <w:kern w:val="0"/>
          <w:sz w:val="32"/>
          <w:szCs w:val="32"/>
        </w:rPr>
        <w:t>大学生业余党校、思政课等方式开展党的二十大精神宣讲。</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（3）认真贯彻落实《中国共产党普通高</w:t>
      </w:r>
      <w:r>
        <w:rPr>
          <w:rFonts w:hint="eastAsia" w:ascii="仿宋_GB2312" w:hAnsi="仿宋_GB2312" w:eastAsia="仿宋_GB2312" w:cs="仿宋_GB2312"/>
          <w:bCs/>
          <w:snapToGrid w:val="0"/>
          <w:sz w:val="32"/>
          <w:szCs w:val="32"/>
          <w:lang w:val="en-US" w:eastAsia="zh-CN"/>
        </w:rPr>
        <w:t>等学</w:t>
      </w:r>
      <w:r>
        <w:rPr>
          <w:rFonts w:hint="eastAsia" w:ascii="仿宋_GB2312" w:hAnsi="仿宋_GB2312" w:eastAsia="仿宋_GB2312" w:cs="仿宋_GB2312"/>
          <w:bCs/>
          <w:snapToGrid w:val="0"/>
          <w:sz w:val="32"/>
          <w:szCs w:val="32"/>
        </w:rPr>
        <w:t>校基层组织工作条例》，推动党支部规范化建设。学校党委制定下发《关于进一步加强党的基层组织生活制度建设的实施意见》，明确“三会一课”制度的内容和要求，每月月初下发《主题党日活动安排》，对主题党日如何开展提出明确要求，强调会议纪律，保证学习效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（4）着力提升党支部规范化水平，学校成立了党务工作检查小组，每周对各支部“三会一课”执行情况、主题党日开展情况进行检查，并将检查结果上报</w:t>
      </w:r>
      <w:r>
        <w:rPr>
          <w:rFonts w:hint="eastAsia" w:ascii="仿宋_GB2312" w:hAnsi="仿宋_GB2312" w:eastAsia="仿宋_GB2312" w:cs="仿宋_GB2312"/>
          <w:bCs/>
          <w:snapToGrid w:val="0"/>
          <w:sz w:val="32"/>
          <w:szCs w:val="32"/>
          <w:lang w:val="en-US" w:eastAsia="zh-CN"/>
        </w:rPr>
        <w:t>学院</w:t>
      </w:r>
      <w:r>
        <w:rPr>
          <w:rFonts w:hint="eastAsia" w:ascii="仿宋_GB2312" w:hAnsi="仿宋_GB2312" w:eastAsia="仿宋_GB2312" w:cs="仿宋_GB2312"/>
          <w:bCs/>
          <w:snapToGrid w:val="0"/>
          <w:sz w:val="32"/>
          <w:szCs w:val="32"/>
        </w:rPr>
        <w:t>九大检查，发现问题及时通报并整改。教师党支部书记“双带头人”比例已达到87.5%。组织员队伍严格按照1:1000比例配备。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napToGrid w:val="0"/>
          <w:sz w:val="32"/>
          <w:szCs w:val="32"/>
        </w:rPr>
        <w:t>（5）扛起疫情防控领导责任。</w:t>
      </w:r>
      <w:r>
        <w:rPr>
          <w:rFonts w:hint="eastAsia" w:ascii="仿宋_GB2312" w:hAnsi="仿宋_GB2312" w:eastAsia="仿宋_GB2312" w:cs="仿宋_GB2312"/>
          <w:bCs/>
          <w:sz w:val="32"/>
          <w:szCs w:val="32"/>
        </w:rPr>
        <w:t>为深入学习贯彻习近平总书记“让党旗在防控疫情斗争第一线高高飘扬”的重要指示精神，学</w:t>
      </w:r>
      <w:r>
        <w:rPr>
          <w:rFonts w:hint="eastAsia" w:ascii="仿宋_GB2312" w:hAnsi="仿宋_GB2312" w:eastAsia="仿宋_GB2312" w:cs="仿宋_GB2312"/>
          <w:bCs/>
          <w:snapToGrid w:val="0"/>
          <w:sz w:val="32"/>
          <w:szCs w:val="32"/>
        </w:rPr>
        <w:t>校</w:t>
      </w:r>
      <w:r>
        <w:rPr>
          <w:rFonts w:hint="eastAsia" w:ascii="仿宋_GB2312" w:hAnsi="仿宋_GB2312" w:eastAsia="仿宋_GB2312" w:cs="仿宋_GB2312"/>
          <w:bCs/>
          <w:sz w:val="32"/>
          <w:szCs w:val="32"/>
        </w:rPr>
        <w:t>党委在全</w:t>
      </w:r>
      <w:r>
        <w:rPr>
          <w:rFonts w:hint="eastAsia" w:ascii="仿宋_GB2312" w:hAnsi="仿宋_GB2312" w:eastAsia="仿宋_GB2312" w:cs="仿宋_GB2312"/>
          <w:bCs/>
          <w:snapToGrid w:val="0"/>
          <w:sz w:val="32"/>
          <w:szCs w:val="32"/>
        </w:rPr>
        <w:t>校</w:t>
      </w:r>
      <w:r>
        <w:rPr>
          <w:rFonts w:hint="eastAsia" w:ascii="仿宋_GB2312" w:hAnsi="仿宋_GB2312" w:eastAsia="仿宋_GB2312" w:cs="仿宋_GB2312"/>
          <w:bCs/>
          <w:sz w:val="32"/>
          <w:szCs w:val="32"/>
        </w:rPr>
        <w:t>共产党员中开展 “先锋旗帜工程”，成立了学生临时党支部参与学</w:t>
      </w:r>
      <w:r>
        <w:rPr>
          <w:rFonts w:hint="eastAsia" w:ascii="仿宋_GB2312" w:hAnsi="仿宋_GB2312" w:eastAsia="仿宋_GB2312" w:cs="仿宋_GB2312"/>
          <w:bCs/>
          <w:snapToGrid w:val="0"/>
          <w:sz w:val="32"/>
          <w:szCs w:val="32"/>
        </w:rPr>
        <w:t>校</w:t>
      </w:r>
      <w:r>
        <w:rPr>
          <w:rFonts w:hint="eastAsia" w:ascii="仿宋_GB2312" w:hAnsi="仿宋_GB2312" w:eastAsia="仿宋_GB2312" w:cs="仿宋_GB2312"/>
          <w:bCs/>
          <w:sz w:val="32"/>
          <w:szCs w:val="32"/>
        </w:rPr>
        <w:t>疫情防控各项工作，以确保每名共产党员在疫情防控工作中始终站在最前列，能够持续发挥先锋模范带头作用。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（6）做好发展党员工作，</w:t>
      </w:r>
      <w:r>
        <w:rPr>
          <w:rFonts w:hint="eastAsia" w:ascii="仿宋_GB2312" w:hAnsi="仿宋_GB2312" w:eastAsia="仿宋_GB2312" w:cs="仿宋_GB2312"/>
          <w:bCs/>
          <w:snapToGrid w:val="0"/>
          <w:sz w:val="32"/>
          <w:szCs w:val="32"/>
        </w:rPr>
        <w:t>为保质保量完成发展党员计划，疫情期间，学</w:t>
      </w:r>
      <w:r>
        <w:rPr>
          <w:rFonts w:hint="eastAsia" w:ascii="仿宋_GB2312" w:hAnsi="仿宋_GB2312" w:eastAsia="仿宋_GB2312" w:cs="仿宋_GB2312"/>
          <w:bCs/>
          <w:snapToGrid w:val="0"/>
          <w:kern w:val="0"/>
          <w:sz w:val="32"/>
          <w:szCs w:val="32"/>
        </w:rPr>
        <w:t>校</w:t>
      </w:r>
      <w:r>
        <w:rPr>
          <w:rFonts w:hint="eastAsia" w:ascii="仿宋_GB2312" w:hAnsi="仿宋_GB2312" w:eastAsia="仿宋_GB2312" w:cs="仿宋_GB2312"/>
          <w:bCs/>
          <w:snapToGrid w:val="0"/>
          <w:sz w:val="32"/>
          <w:szCs w:val="32"/>
        </w:rPr>
        <w:t>党委开设了线上党课，利用线上平台采取理论宣讲、情景互动等形式开展专题教育。</w:t>
      </w:r>
      <w:r>
        <w:rPr>
          <w:rFonts w:hint="eastAsia" w:ascii="仿宋_GB2312" w:hAnsi="仿宋_GB2312" w:eastAsia="仿宋_GB2312" w:cs="仿宋_GB2312"/>
          <w:sz w:val="32"/>
          <w:szCs w:val="32"/>
        </w:rPr>
        <w:t>把好党员发展“入口关”，坚持标准，严格政治审查，全年发展党员37人，其中教师党员4人。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Cs/>
          <w:snapToGrid w:val="0"/>
          <w:sz w:val="32"/>
          <w:szCs w:val="32"/>
        </w:rPr>
        <w:t>（7）扎实推进“两学一做”常态化制度化，认真组织开展新修订的《党章》学习。学校党委提出重在常态长效，突出问题导向，加强分类指导。每个季度下发《在全校基层党组织和共产党员中开展“两学一做”学习教育安排》，要求各支部把工作着力点放在加强“三会一课”制度建设上面，把工作落脚点放在支部的战斗堡垒作用和党员先锋模范作用的发挥上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Cs/>
          <w:snapToGrid w:val="0"/>
          <w:sz w:val="32"/>
          <w:szCs w:val="32"/>
        </w:rPr>
      </w:pPr>
      <w:r>
        <w:rPr>
          <w:rFonts w:hint="eastAsia" w:ascii="仿宋_GB2312" w:hAnsi="仿宋_GB2312" w:eastAsia="仿宋_GB2312" w:cs="仿宋_GB2312"/>
          <w:kern w:val="2"/>
          <w:sz w:val="32"/>
          <w:szCs w:val="32"/>
        </w:rPr>
        <w:t>（8）</w:t>
      </w:r>
      <w:r>
        <w:rPr>
          <w:rFonts w:hint="eastAsia" w:ascii="仿宋_GB2312" w:hAnsi="仿宋_GB2312" w:eastAsia="仿宋_GB2312" w:cs="仿宋_GB2312"/>
          <w:bCs/>
          <w:snapToGrid w:val="0"/>
          <w:sz w:val="32"/>
          <w:szCs w:val="32"/>
        </w:rPr>
        <w:t>持续推进思想政治工作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进一步健全学</w:t>
      </w:r>
      <w:r>
        <w:rPr>
          <w:rFonts w:hint="eastAsia" w:ascii="仿宋_GB2312" w:hAnsi="仿宋_GB2312" w:eastAsia="仿宋_GB2312" w:cs="仿宋_GB2312"/>
          <w:bCs/>
          <w:snapToGrid w:val="0"/>
          <w:kern w:val="0"/>
          <w:sz w:val="32"/>
          <w:szCs w:val="32"/>
        </w:rPr>
        <w:t>校</w:t>
      </w:r>
      <w:r>
        <w:rPr>
          <w:rFonts w:hint="eastAsia" w:ascii="仿宋_GB2312" w:hAnsi="仿宋_GB2312" w:eastAsia="仿宋_GB2312" w:cs="仿宋_GB2312"/>
          <w:bCs/>
          <w:snapToGrid w:val="0"/>
          <w:sz w:val="32"/>
          <w:szCs w:val="32"/>
        </w:rPr>
        <w:t>“三全育人”工作机制，纵深推进综合改革。加强党对学校工作的领导，紧紧围绕立德树人根本任务。对标综合改革要求，以“十大育人体系”建设为基础，建立系统，确定标准，调动全部办学要素协同育人，实现全天候、全培养周期育人。以学</w:t>
      </w:r>
      <w:r>
        <w:rPr>
          <w:rFonts w:hint="eastAsia" w:ascii="仿宋_GB2312" w:hAnsi="仿宋_GB2312" w:eastAsia="仿宋_GB2312" w:cs="仿宋_GB2312"/>
          <w:bCs/>
          <w:snapToGrid w:val="0"/>
          <w:kern w:val="0"/>
          <w:sz w:val="32"/>
          <w:szCs w:val="32"/>
        </w:rPr>
        <w:t>校</w:t>
      </w:r>
      <w:r>
        <w:rPr>
          <w:rFonts w:hint="eastAsia" w:ascii="仿宋_GB2312" w:hAnsi="仿宋_GB2312" w:eastAsia="仿宋_GB2312" w:cs="仿宋_GB2312"/>
          <w:bCs/>
          <w:snapToGrid w:val="0"/>
          <w:sz w:val="32"/>
          <w:szCs w:val="32"/>
        </w:rPr>
        <w:t xml:space="preserve"> “二元互导”等特色育人模式为抓手，成功申报教育部“一站式”学生社区综合管理模式试点，打造学</w:t>
      </w:r>
      <w:r>
        <w:rPr>
          <w:rFonts w:hint="eastAsia" w:ascii="仿宋_GB2312" w:hAnsi="仿宋_GB2312" w:eastAsia="仿宋_GB2312" w:cs="仿宋_GB2312"/>
          <w:bCs/>
          <w:snapToGrid w:val="0"/>
          <w:kern w:val="0"/>
          <w:sz w:val="32"/>
          <w:szCs w:val="32"/>
        </w:rPr>
        <w:t>校</w:t>
      </w:r>
      <w:r>
        <w:rPr>
          <w:rFonts w:hint="eastAsia" w:ascii="仿宋_GB2312" w:hAnsi="仿宋_GB2312" w:eastAsia="仿宋_GB2312" w:cs="仿宋_GB2312"/>
          <w:bCs/>
          <w:snapToGrid w:val="0"/>
          <w:sz w:val="32"/>
          <w:szCs w:val="32"/>
        </w:rPr>
        <w:t>育人“新名片”。</w:t>
      </w:r>
      <w:r>
        <w:rPr>
          <w:rFonts w:hint="eastAsia" w:ascii="仿宋_GB2312" w:hAnsi="仿宋_GB2312" w:eastAsia="仿宋_GB2312" w:cs="仿宋_GB2312"/>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Cs/>
          <w:snapToGrid w:val="0"/>
          <w:kern w:val="2"/>
          <w:sz w:val="32"/>
          <w:szCs w:val="32"/>
        </w:rPr>
      </w:pPr>
      <w:r>
        <w:rPr>
          <w:rFonts w:hint="eastAsia" w:ascii="仿宋_GB2312" w:hAnsi="仿宋_GB2312" w:eastAsia="仿宋_GB2312" w:cs="仿宋_GB2312"/>
          <w:bCs/>
          <w:snapToGrid w:val="0"/>
          <w:kern w:val="2"/>
          <w:sz w:val="32"/>
          <w:szCs w:val="32"/>
        </w:rPr>
        <w:t>（9）做好意识形态工作、统战工作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w:t>
      </w:r>
      <w:r>
        <w:rPr>
          <w:rFonts w:hint="eastAsia" w:ascii="仿宋_GB2312" w:hAnsi="仿宋_GB2312" w:eastAsia="仿宋_GB2312" w:cs="仿宋_GB2312"/>
          <w:bCs/>
          <w:snapToGrid w:val="0"/>
          <w:sz w:val="32"/>
          <w:szCs w:val="32"/>
        </w:rPr>
        <w:t>校</w:t>
      </w:r>
      <w:r>
        <w:rPr>
          <w:rFonts w:hint="eastAsia" w:ascii="仿宋_GB2312" w:hAnsi="仿宋_GB2312" w:eastAsia="仿宋_GB2312" w:cs="仿宋_GB2312"/>
          <w:sz w:val="32"/>
          <w:szCs w:val="32"/>
        </w:rPr>
        <w:t>党委制定印发了《</w:t>
      </w:r>
      <w:r>
        <w:rPr>
          <w:rFonts w:hint="eastAsia" w:ascii="仿宋_GB2312" w:hAnsi="仿宋_GB2312" w:eastAsia="仿宋_GB2312" w:cs="仿宋_GB2312"/>
          <w:bCs/>
          <w:sz w:val="32"/>
          <w:szCs w:val="32"/>
        </w:rPr>
        <w:t>关于调整辽宁广告职业学院意识形态工作领导小组成员的通知</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关于组建辽宁广告职业学院思想政治工作领导小组的通知</w:t>
      </w:r>
      <w:r>
        <w:rPr>
          <w:rFonts w:hint="eastAsia" w:ascii="仿宋_GB2312" w:hAnsi="仿宋_GB2312" w:eastAsia="仿宋_GB2312" w:cs="仿宋_GB2312"/>
          <w:sz w:val="32"/>
          <w:szCs w:val="32"/>
        </w:rPr>
        <w:t>》等6个意识形态阵地管理文件，全面加强阵地管理。积极宣传党的民族宗教政策，常态化开展师生思想状况调查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严把教材引进、选用、管理等环节。</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（10）坚持全面从严治党，压紧压实“两个责任”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坚决贯彻落实中央、省委党要管党、从严治党的部署和要求，自觉肩负起全面从严治党主体责任，把从严治党贯穿到学</w:t>
      </w:r>
      <w:r>
        <w:rPr>
          <w:rFonts w:hint="eastAsia" w:ascii="仿宋_GB2312" w:hAnsi="仿宋_GB2312" w:eastAsia="仿宋_GB2312" w:cs="仿宋_GB2312"/>
          <w:bCs/>
          <w:snapToGrid w:val="0"/>
          <w:kern w:val="0"/>
          <w:sz w:val="32"/>
          <w:szCs w:val="32"/>
        </w:rPr>
        <w:t>校</w:t>
      </w:r>
      <w:r>
        <w:rPr>
          <w:rFonts w:hint="eastAsia" w:ascii="仿宋_GB2312" w:hAnsi="仿宋_GB2312" w:eastAsia="仿宋_GB2312" w:cs="仿宋_GB2312"/>
          <w:sz w:val="32"/>
          <w:szCs w:val="32"/>
        </w:rPr>
        <w:t>各项工作中。不断推进全面从严治党工作出特色、上水平，为全</w:t>
      </w:r>
      <w:r>
        <w:rPr>
          <w:rFonts w:hint="eastAsia" w:ascii="仿宋_GB2312" w:hAnsi="仿宋_GB2312" w:eastAsia="仿宋_GB2312" w:cs="仿宋_GB2312"/>
          <w:bCs/>
          <w:snapToGrid w:val="0"/>
          <w:kern w:val="0"/>
          <w:sz w:val="32"/>
          <w:szCs w:val="32"/>
        </w:rPr>
        <w:t>校</w:t>
      </w:r>
      <w:r>
        <w:rPr>
          <w:rFonts w:hint="eastAsia" w:ascii="仿宋_GB2312" w:hAnsi="仿宋_GB2312" w:eastAsia="仿宋_GB2312" w:cs="仿宋_GB2312"/>
          <w:sz w:val="32"/>
          <w:szCs w:val="32"/>
        </w:rPr>
        <w:t>各项事业发展提供坚强的党建保证。压紧压实全面从严治党“两个责任”，班子成员履行“一岗双责”责任。推动管党治党责任全覆盖、监督无死角。</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.学校党组织参与研究决定学校发展规划、重要改革、人事安排和师生员工切身利益等重要事项情况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学校领导班子深入贯彻落实我省民办高等教育高质量发展要求，学</w:t>
      </w:r>
      <w:r>
        <w:rPr>
          <w:rFonts w:hint="eastAsia" w:ascii="仿宋_GB2312" w:hAnsi="仿宋_GB2312" w:eastAsia="仿宋_GB2312" w:cs="仿宋_GB2312"/>
          <w:bCs/>
          <w:snapToGrid w:val="0"/>
          <w:kern w:val="0"/>
          <w:sz w:val="32"/>
          <w:szCs w:val="32"/>
        </w:rPr>
        <w:t>校</w:t>
      </w:r>
      <w:r>
        <w:rPr>
          <w:rFonts w:hint="eastAsia" w:ascii="仿宋_GB2312" w:hAnsi="仿宋_GB2312" w:eastAsia="仿宋_GB2312" w:cs="仿宋_GB2312"/>
          <w:bCs/>
          <w:snapToGrid w:val="0"/>
          <w:sz w:val="32"/>
          <w:szCs w:val="32"/>
        </w:rPr>
        <w:t>党的建设、思想政治工作和德育工作等事项由党组织会议研究决定；涉及学</w:t>
      </w:r>
      <w:r>
        <w:rPr>
          <w:rFonts w:hint="eastAsia" w:ascii="仿宋_GB2312" w:hAnsi="仿宋_GB2312" w:eastAsia="仿宋_GB2312" w:cs="仿宋_GB2312"/>
          <w:bCs/>
          <w:snapToGrid w:val="0"/>
          <w:kern w:val="0"/>
          <w:sz w:val="32"/>
          <w:szCs w:val="32"/>
        </w:rPr>
        <w:t>校</w:t>
      </w:r>
      <w:r>
        <w:rPr>
          <w:rFonts w:hint="eastAsia" w:ascii="仿宋_GB2312" w:hAnsi="仿宋_GB2312" w:eastAsia="仿宋_GB2312" w:cs="仿宋_GB2312"/>
          <w:bCs/>
          <w:snapToGrid w:val="0"/>
          <w:sz w:val="32"/>
          <w:szCs w:val="32"/>
        </w:rPr>
        <w:t>发展规划、重要改革、人事安排和师生员工切身利益等重大事情，党组织参与讨论研究。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（1）高水平规划发展战略方位。认</w:t>
      </w:r>
      <w:bookmarkStart w:id="0" w:name="_Hlk126827222"/>
      <w:r>
        <w:rPr>
          <w:rFonts w:hint="eastAsia" w:ascii="仿宋_GB2312" w:hAnsi="仿宋_GB2312" w:eastAsia="仿宋_GB2312" w:cs="仿宋_GB2312"/>
          <w:bCs/>
          <w:snapToGrid w:val="0"/>
          <w:sz w:val="32"/>
          <w:szCs w:val="32"/>
        </w:rPr>
        <w:t>真总结分析学校专业评估情况、专业建设成果情况和师资队伍建设情况，高站位规划发展目标，明确了学校事业要“背靠广告行业发展，专业建在产业链上，坚持数字赋能，凸显办学特色”的发展思路，分层次建设现有专业，按照“双高计划”标准培育全国一流专业。</w:t>
      </w:r>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（2）高站位构建思政工作体系。</w:t>
      </w:r>
      <w:bookmarkStart w:id="1" w:name="_Hlk126827284"/>
      <w:r>
        <w:rPr>
          <w:rFonts w:hint="eastAsia" w:ascii="仿宋_GB2312" w:hAnsi="仿宋_GB2312" w:eastAsia="仿宋_GB2312" w:cs="仿宋_GB2312"/>
          <w:bCs/>
          <w:snapToGrid w:val="0"/>
          <w:sz w:val="32"/>
          <w:szCs w:val="32"/>
        </w:rPr>
        <w:t>找准特色办学、技能育人的结合点，建立“三全育人”“五育并举”有机融合的思想政治工作体系。</w:t>
      </w:r>
      <w:bookmarkEnd w:id="1"/>
      <w:r>
        <w:rPr>
          <w:rFonts w:hint="eastAsia" w:ascii="仿宋_GB2312" w:hAnsi="仿宋_GB2312" w:eastAsia="仿宋_GB2312" w:cs="仿宋_GB2312"/>
          <w:bCs/>
          <w:snapToGrid w:val="0"/>
          <w:sz w:val="32"/>
          <w:szCs w:val="32"/>
        </w:rPr>
        <w:t>持续擦亮“二元互导”思政教育品牌，开展“领航工程”“强基工程”“先锋工程”和“青春校园行动”，讲好辽广青年学生永远跟党走的青春故事。</w:t>
      </w:r>
      <w:bookmarkStart w:id="2" w:name="_Hlk126827317"/>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（3）高标准打造服务辽宁振兴发展的高水平专业群</w:t>
      </w:r>
      <w:bookmarkEnd w:id="2"/>
      <w:r>
        <w:rPr>
          <w:rFonts w:hint="eastAsia" w:ascii="仿宋_GB2312" w:hAnsi="仿宋_GB2312" w:eastAsia="仿宋_GB2312" w:cs="仿宋_GB2312"/>
          <w:bCs/>
          <w:snapToGrid w:val="0"/>
          <w:sz w:val="32"/>
          <w:szCs w:val="32"/>
        </w:rPr>
        <w:t>。以星级专业评估为契机，对标“双高”建设标准和星级专业建设指标，打造了现代服务艺术设计、旅游服务专业群、电子商务专业群，将学校专业以专业群为支撑形成合力。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（4）深化教育教</w:t>
      </w:r>
      <w:r>
        <w:rPr>
          <w:rFonts w:hint="eastAsia" w:ascii="仿宋_GB2312" w:hAnsi="仿宋_GB2312" w:eastAsia="仿宋_GB2312" w:cs="仿宋_GB2312"/>
          <w:bCs/>
          <w:snapToGrid w:val="0"/>
          <w:sz w:val="32"/>
          <w:szCs w:val="32"/>
          <w:lang w:val="en-US" w:eastAsia="zh-CN"/>
        </w:rPr>
        <w:t>学</w:t>
      </w:r>
      <w:r>
        <w:rPr>
          <w:rFonts w:hint="eastAsia" w:ascii="仿宋_GB2312" w:hAnsi="仿宋_GB2312" w:eastAsia="仿宋_GB2312" w:cs="仿宋_GB2312"/>
          <w:bCs/>
          <w:snapToGrid w:val="0"/>
          <w:sz w:val="32"/>
          <w:szCs w:val="32"/>
        </w:rPr>
        <w:t>改革。持续推进“三教”改革。获评省级教改立项5项。探索口诀技能教学法、视频教学法等，不断改进技能教学方式方法；通过将工作室项目教学引入课堂，不断改进教学方法增强学生专业技术能力。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5）人才培养质量持续提高。构建教学质量保障体系。持续开展“1+X”证书试点，升级人才培养方案。完成辽宁省社会培训评价组织16个证书的申报工作，2022年全国“1+X”证书试点考点申报数量达到10个；推进国家学分银行书证融通工作，7个“1+X”证书进入该序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6）着力构建内部治理制度体系。积极承担辽宁省社会文化服务类职业教育培养标准化试点工作，重新建构学校治理制度体系，制定《标准化管理办法》《标准化工作规则》等七个标准化项目管理规范，拟定学校制度、流程、标准168个，2022年9月顺利通过省级标准化试点中期评估，在省内高职院校中率先构建起符合国家质量标准的内部治理制度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7）坚决扛起维护国家“五大安全”的政治责任。牢牢掌握意识形态工作主动权，常态化开展意识形态研判，制定6项工作制度，采购舆情监测软件，组建学生网络评论员队伍，召开学生“大V”座谈会，成立官微工作室，全年新闻报道“零事故”。畅通师生诉求渠道，召开师生听证会2次、寝室长座谈会7轮次，将矛盾化解在基层。省教育厅每日通报投诉情况期间，学校始终“零上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8）统筹疫情防控和事业发展。高度重视疫情防控工作，严格落实“一把手”住校要求，制定“零漏洞”“零事故”“零违纪”的疫情防控“三个零”标准，高质量完成学生阶段性返校组织，以最严标准完成静默期管理，全校学生无一人感染。成立工作专班，高标准建设健康驿站，全力保障师生健康安全。全年疫情防控校园始终“零输入”，师生“零感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9）高度关注民生工作。将就业工作作为重要民生工程和政治任务，积极开展书记校长访企拓岗工作。通过网络视频、实地走访、交流座谈会等多种形式，联系117家企业，2022年全员累计走访开发优质民企262家，岗位数5125个，云平台新增入驻信息网企业数277家，加大条件建设和民生保障力度。投入26万元增设LED大屏幕；投入20万元铺设转运物资道路；投入15万元重新铺装校内西环路，打通了消防车应急通道；全面整修礼堂和体育场；投入64.5万元改造了隔离寝室楼。普调了全员职工工资；按时足额发放疫情防控期间驻校教职工值班补贴和伙食补助，教职工的获得感、幸福感普遍增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二</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思政工作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学院严格学习贯彻落实党的十九届六中全会、党的二十大会议精神，以习近平新时代中国特色社会主义思想为指导，坚持社会主义办学方向，全面贯彻党的教育方针，落实立德树人根本任务，解决好培养什么人、怎样培养人、为谁培养人这个根本问题，努力培养担当民族复兴大任的时代新人，培养德智体美劳全面发展的社会主义建设者和接班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不断完善思想政治理论课教师和心理健康教育教师队伍建设</w:t>
      </w:r>
      <w:r>
        <w:rPr>
          <w:rFonts w:hint="eastAsia" w:ascii="仿宋_GB2312" w:hAnsi="仿宋_GB2312" w:eastAsia="仿宋_GB2312" w:cs="仿宋_GB2312"/>
          <w:bCs/>
          <w:snapToGrid w:val="0"/>
          <w:kern w:val="0"/>
          <w:sz w:val="32"/>
          <w:szCs w:val="32"/>
          <w:lang w:eastAsia="zh-CN"/>
        </w:rPr>
        <w:t>，</w:t>
      </w:r>
      <w:r>
        <w:rPr>
          <w:rFonts w:hint="eastAsia" w:ascii="仿宋_GB2312" w:hAnsi="仿宋_GB2312" w:eastAsia="仿宋_GB2312" w:cs="仿宋_GB2312"/>
          <w:bCs/>
          <w:snapToGrid w:val="0"/>
          <w:kern w:val="0"/>
          <w:sz w:val="32"/>
          <w:szCs w:val="32"/>
        </w:rPr>
        <w:t>严格落实教育部要求思政教师和心理健康教师的师生比要求。我院现有</w:t>
      </w:r>
      <w:r>
        <w:rPr>
          <w:rFonts w:hint="eastAsia" w:ascii="仿宋_GB2312" w:hAnsi="仿宋_GB2312" w:eastAsia="仿宋_GB2312" w:cs="仿宋_GB2312"/>
          <w:bCs/>
          <w:snapToGrid w:val="0"/>
          <w:kern w:val="0"/>
          <w:sz w:val="32"/>
          <w:szCs w:val="32"/>
          <w:highlight w:val="none"/>
        </w:rPr>
        <w:t>专职思政教师18人</w:t>
      </w:r>
      <w:r>
        <w:rPr>
          <w:rFonts w:hint="eastAsia" w:ascii="仿宋_GB2312" w:hAnsi="仿宋_GB2312" w:eastAsia="仿宋_GB2312" w:cs="仿宋_GB2312"/>
          <w:bCs/>
          <w:snapToGrid w:val="0"/>
          <w:kern w:val="0"/>
          <w:sz w:val="32"/>
          <w:szCs w:val="32"/>
          <w:highlight w:val="none"/>
          <w:lang w:eastAsia="zh-CN"/>
        </w:rPr>
        <w:t>，</w:t>
      </w:r>
      <w:r>
        <w:rPr>
          <w:rFonts w:hint="eastAsia" w:ascii="仿宋_GB2312" w:hAnsi="仿宋_GB2312" w:eastAsia="仿宋_GB2312" w:cs="仿宋_GB2312"/>
          <w:bCs/>
          <w:snapToGrid w:val="0"/>
          <w:kern w:val="0"/>
          <w:sz w:val="32"/>
          <w:szCs w:val="32"/>
        </w:rPr>
        <w:t>现有专职心理健康教师3人。严格贯彻落实党的十九届六中全会、党的二十大会议精神及习总书记系列讲话精神，将最新的理论成果融入思政课教学，完成思想道德与法治、毛泽东思想和中国特色社会主义理论体系概论、形势与政策以及新开设的习近平新时代中国特色社会主义思想概论等思政课程的教学任务，守好“立德树人”的根本任务。</w:t>
      </w:r>
      <w:r>
        <w:rPr>
          <w:rFonts w:hint="eastAsia" w:ascii="仿宋_GB2312" w:hAnsi="仿宋_GB2312" w:eastAsia="仿宋_GB2312" w:cs="仿宋_GB2312"/>
          <w:bCs/>
          <w:snapToGrid w:val="0"/>
          <w:kern w:val="0"/>
          <w:sz w:val="32"/>
          <w:szCs w:val="32"/>
          <w:lang w:val="en-US" w:eastAsia="zh-CN"/>
        </w:rPr>
        <w:t>思想道德与</w:t>
      </w:r>
      <w:r>
        <w:rPr>
          <w:rFonts w:hint="eastAsia" w:ascii="仿宋_GB2312" w:hAnsi="仿宋_GB2312" w:eastAsia="仿宋_GB2312" w:cs="仿宋_GB2312"/>
          <w:bCs/>
          <w:snapToGrid w:val="0"/>
          <w:kern w:val="0"/>
          <w:sz w:val="32"/>
          <w:szCs w:val="32"/>
          <w:highlight w:val="none"/>
        </w:rPr>
        <w:t>法</w:t>
      </w:r>
      <w:r>
        <w:rPr>
          <w:rFonts w:hint="eastAsia" w:ascii="仿宋_GB2312" w:hAnsi="仿宋_GB2312" w:eastAsia="仿宋_GB2312" w:cs="仿宋_GB2312"/>
          <w:bCs/>
          <w:snapToGrid w:val="0"/>
          <w:kern w:val="0"/>
          <w:sz w:val="32"/>
          <w:szCs w:val="32"/>
          <w:highlight w:val="none"/>
          <w:lang w:val="en-US" w:eastAsia="zh-CN"/>
        </w:rPr>
        <w:t>治</w:t>
      </w:r>
      <w:r>
        <w:rPr>
          <w:rFonts w:hint="eastAsia" w:ascii="仿宋_GB2312" w:hAnsi="仿宋_GB2312" w:eastAsia="仿宋_GB2312" w:cs="仿宋_GB2312"/>
          <w:bCs/>
          <w:snapToGrid w:val="0"/>
          <w:kern w:val="0"/>
          <w:sz w:val="32"/>
          <w:szCs w:val="32"/>
          <w:highlight w:val="none"/>
        </w:rPr>
        <w:t>、毛</w:t>
      </w:r>
      <w:r>
        <w:rPr>
          <w:rFonts w:hint="eastAsia" w:ascii="仿宋_GB2312" w:hAnsi="仿宋_GB2312" w:eastAsia="仿宋_GB2312" w:cs="仿宋_GB2312"/>
          <w:bCs/>
          <w:snapToGrid w:val="0"/>
          <w:kern w:val="0"/>
          <w:sz w:val="32"/>
          <w:szCs w:val="32"/>
          <w:highlight w:val="none"/>
          <w:lang w:val="en-US" w:eastAsia="zh-CN"/>
        </w:rPr>
        <w:t>泽东思想和中国特色社会主义理论体系</w:t>
      </w:r>
      <w:r>
        <w:rPr>
          <w:rFonts w:hint="eastAsia" w:ascii="仿宋_GB2312" w:hAnsi="仿宋_GB2312" w:eastAsia="仿宋_GB2312" w:cs="仿宋_GB2312"/>
          <w:bCs/>
          <w:snapToGrid w:val="0"/>
          <w:kern w:val="0"/>
          <w:sz w:val="32"/>
          <w:szCs w:val="32"/>
          <w:highlight w:val="none"/>
        </w:rPr>
        <w:t>概</w:t>
      </w:r>
      <w:r>
        <w:rPr>
          <w:rFonts w:hint="eastAsia" w:ascii="仿宋_GB2312" w:hAnsi="仿宋_GB2312" w:eastAsia="仿宋_GB2312" w:cs="仿宋_GB2312"/>
          <w:bCs/>
          <w:snapToGrid w:val="0"/>
          <w:kern w:val="0"/>
          <w:sz w:val="32"/>
          <w:szCs w:val="32"/>
          <w:highlight w:val="none"/>
          <w:lang w:val="en-US" w:eastAsia="zh-CN"/>
        </w:rPr>
        <w:t>论</w:t>
      </w:r>
      <w:r>
        <w:rPr>
          <w:rFonts w:hint="eastAsia" w:ascii="仿宋_GB2312" w:hAnsi="仿宋_GB2312" w:eastAsia="仿宋_GB2312" w:cs="仿宋_GB2312"/>
          <w:bCs/>
          <w:snapToGrid w:val="0"/>
          <w:kern w:val="0"/>
          <w:sz w:val="32"/>
          <w:szCs w:val="32"/>
          <w:highlight w:val="none"/>
        </w:rPr>
        <w:t>课均使用马</w:t>
      </w:r>
      <w:r>
        <w:rPr>
          <w:rFonts w:hint="eastAsia" w:ascii="仿宋_GB2312" w:hAnsi="仿宋_GB2312" w:eastAsia="仿宋_GB2312" w:cs="仿宋_GB2312"/>
          <w:bCs/>
          <w:snapToGrid w:val="0"/>
          <w:kern w:val="0"/>
          <w:sz w:val="32"/>
          <w:szCs w:val="32"/>
          <w:highlight w:val="none"/>
          <w:lang w:val="en-US" w:eastAsia="zh-CN"/>
        </w:rPr>
        <w:t>克思主义理论研究和建设</w:t>
      </w:r>
      <w:r>
        <w:rPr>
          <w:rFonts w:hint="eastAsia" w:ascii="仿宋_GB2312" w:hAnsi="仿宋_GB2312" w:eastAsia="仿宋_GB2312" w:cs="仿宋_GB2312"/>
          <w:bCs/>
          <w:snapToGrid w:val="0"/>
          <w:kern w:val="0"/>
          <w:sz w:val="32"/>
          <w:szCs w:val="32"/>
          <w:highlight w:val="none"/>
        </w:rPr>
        <w:t>工程</w:t>
      </w:r>
      <w:r>
        <w:rPr>
          <w:rFonts w:hint="eastAsia" w:ascii="仿宋_GB2312" w:hAnsi="仿宋_GB2312" w:eastAsia="仿宋_GB2312" w:cs="仿宋_GB2312"/>
          <w:bCs/>
          <w:snapToGrid w:val="0"/>
          <w:kern w:val="0"/>
          <w:sz w:val="32"/>
          <w:szCs w:val="32"/>
          <w:highlight w:val="none"/>
          <w:lang w:val="en-US" w:eastAsia="zh-CN"/>
        </w:rPr>
        <w:t>重点教材</w:t>
      </w:r>
      <w:r>
        <w:rPr>
          <w:rFonts w:hint="eastAsia" w:ascii="仿宋_GB2312" w:hAnsi="仿宋_GB2312" w:eastAsia="仿宋_GB2312" w:cs="仿宋_GB2312"/>
          <w:bCs/>
          <w:snapToGrid w:val="0"/>
          <w:kern w:val="0"/>
          <w:sz w:val="32"/>
          <w:szCs w:val="32"/>
          <w:highlight w:val="none"/>
        </w:rPr>
        <w:t>指定</w:t>
      </w:r>
      <w:r>
        <w:rPr>
          <w:rFonts w:hint="eastAsia" w:ascii="仿宋_GB2312" w:hAnsi="仿宋_GB2312" w:eastAsia="仿宋_GB2312" w:cs="仿宋_GB2312"/>
          <w:bCs/>
          <w:snapToGrid w:val="0"/>
          <w:kern w:val="0"/>
          <w:sz w:val="32"/>
          <w:szCs w:val="32"/>
          <w:highlight w:val="none"/>
          <w:lang w:val="en-US" w:eastAsia="zh-CN"/>
        </w:rPr>
        <w:t>的</w:t>
      </w:r>
      <w:r>
        <w:rPr>
          <w:rFonts w:hint="eastAsia" w:ascii="仿宋_GB2312" w:hAnsi="仿宋_GB2312" w:eastAsia="仿宋_GB2312" w:cs="仿宋_GB2312"/>
          <w:bCs/>
          <w:snapToGrid w:val="0"/>
          <w:kern w:val="0"/>
          <w:sz w:val="32"/>
          <w:szCs w:val="32"/>
          <w:highlight w:val="none"/>
        </w:rPr>
        <w:t>最新版教材；</w:t>
      </w:r>
      <w:r>
        <w:rPr>
          <w:rFonts w:hint="eastAsia" w:ascii="仿宋_GB2312" w:hAnsi="仿宋_GB2312" w:eastAsia="仿宋_GB2312" w:cs="仿宋_GB2312"/>
          <w:bCs/>
          <w:snapToGrid w:val="0"/>
          <w:kern w:val="0"/>
          <w:sz w:val="32"/>
          <w:szCs w:val="32"/>
          <w:highlight w:val="none"/>
          <w:lang w:val="en-US" w:eastAsia="zh-CN"/>
        </w:rPr>
        <w:t>形</w:t>
      </w:r>
      <w:r>
        <w:rPr>
          <w:rFonts w:hint="eastAsia" w:ascii="仿宋_GB2312" w:hAnsi="仿宋_GB2312" w:eastAsia="仿宋_GB2312" w:cs="仿宋_GB2312"/>
          <w:bCs/>
          <w:snapToGrid w:val="0"/>
          <w:kern w:val="0"/>
          <w:sz w:val="32"/>
          <w:szCs w:val="32"/>
        </w:rPr>
        <w:t>势与政策课开设3个学期，使用中宣部指定《时事报告》教材，严格按照教育部印发的《高校“形势与政策”课教学要点》设计教学内容，覆盖全院学生。思政课开齐课程，开足课时，保证我</w:t>
      </w:r>
      <w:r>
        <w:rPr>
          <w:rFonts w:hint="eastAsia" w:ascii="仿宋_GB2312" w:hAnsi="仿宋_GB2312" w:eastAsia="仿宋_GB2312" w:cs="仿宋_GB2312"/>
          <w:bCs/>
          <w:snapToGrid w:val="0"/>
          <w:kern w:val="0"/>
          <w:sz w:val="32"/>
          <w:szCs w:val="32"/>
          <w:lang w:val="en-US" w:eastAsia="zh-CN"/>
        </w:rPr>
        <w:t>校</w:t>
      </w:r>
      <w:r>
        <w:rPr>
          <w:rFonts w:hint="eastAsia" w:ascii="仿宋_GB2312" w:hAnsi="仿宋_GB2312" w:eastAsia="仿宋_GB2312" w:cs="仿宋_GB2312"/>
          <w:bCs/>
          <w:snapToGrid w:val="0"/>
          <w:kern w:val="0"/>
          <w:sz w:val="32"/>
          <w:szCs w:val="32"/>
        </w:rPr>
        <w:t>大学生思想政治理论课教学的完整性和连续性。定期开展集体备课，不断创新教学方式方法，积极采用案例式教学、讨论式教学、问题式教学等方式，推动思政课改革创新，探索适合广院特色的“大思政课”。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党团活动开展情况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
          <w:bCs w:val="0"/>
          <w:snapToGrid w:val="0"/>
          <w:kern w:val="0"/>
          <w:sz w:val="32"/>
          <w:szCs w:val="32"/>
          <w:lang w:val="en-US" w:eastAsia="zh-CN"/>
        </w:rPr>
        <w:t>1.工会组织及活动情况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学院依法成立工会，第九届工会委员会于2021年11月5日通过辽宁广告职业学院教职工代表大会暨工会委员代表大会选举产生。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学院工会</w:t>
      </w:r>
      <w:r>
        <w:rPr>
          <w:rFonts w:hint="eastAsia" w:ascii="仿宋_GB2312" w:hAnsi="仿宋_GB2312" w:eastAsia="仿宋_GB2312" w:cs="仿宋_GB2312"/>
          <w:bCs/>
          <w:snapToGrid w:val="0"/>
          <w:kern w:val="0"/>
          <w:sz w:val="32"/>
          <w:szCs w:val="32"/>
          <w:lang w:val="en-US" w:eastAsia="zh-CN"/>
        </w:rPr>
        <w:t>经费使用</w:t>
      </w:r>
      <w:r>
        <w:rPr>
          <w:rFonts w:hint="default" w:ascii="仿宋_GB2312" w:hAnsi="仿宋_GB2312" w:eastAsia="仿宋_GB2312" w:cs="仿宋_GB2312"/>
          <w:bCs/>
          <w:snapToGrid w:val="0"/>
          <w:kern w:val="0"/>
          <w:sz w:val="32"/>
          <w:szCs w:val="32"/>
          <w:lang w:val="en-US" w:eastAsia="zh-CN"/>
        </w:rPr>
        <w:t>严格按照《辽宁省基层工会经费收支管理办法实施细则》执行。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工会成功申报了辽宁省教科文卫体工会委员“职工创新工作室”，积极参与“2022辽宁省职工技能大赛暨全省高校青年教师教学竞赛”、“2022 辽宁省职工技能大赛暨全省高校青年教师思想政治课教学大赛”评选活动，落实立德树人的根本任务。以“为人民服务”为宗旨，注重细节、关注焦点、聚焦特殊关爱人群。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
          <w:bCs w:val="0"/>
          <w:snapToGrid w:val="0"/>
          <w:kern w:val="0"/>
          <w:sz w:val="32"/>
          <w:szCs w:val="32"/>
          <w:lang w:val="en-US" w:eastAsia="zh-CN"/>
        </w:rPr>
        <w:t>2.共青团组织及活动情况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根据教育部门的各类文件精神，在上级团委关心和指导下，在全体团干、团员及广大师生的支持和努力下，共青团辽宁广告职业学院委员会积极开展青年团员等一系列活动，引导大学生创新创业，服务学院中心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（1）团委内部管理机构设置及人员配备情况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学院团委为单独部门下设8个系级团总支，50个团支部。新学年开始，首先健全团委、学生会等团队工作机构。毕业生离校，新生进校后及时在新增班级通过民主选举建立团支部组织，认真做好团员组织关系的转接，团费收缴，团籍注册和团员基本情况统计工作。为了保证组织网络的顺畅运行，上至团委，下至各班团支部、团小组，都配备了各项工作负责人，使各项工作开展有组织人事上的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（2）团委活动开展情况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为搭建学生党性锻炼和理论学习的新平台、创新人才培养模式的新举措、改革学生的教育管理服务模式，着力铸造信念坚定、求真务实、敢于担当、乐于奉献、善于创新的大学生。学院每年有针对的对学生开展两期青年马克思主义者培养工程暨大学生骨干培训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学院“尊师敬学重教”校园听证会，至今已成功举办130期，是学生行使民主权利的重要形式。学院以举办校园听证会为载体，倾听和解答广大同学意见和建议，解决学生在学习、生活等方面遇到的问题，疏通学生在成长道路上的障碍，为学院领导和广大同学搭建一个沟通心灵的对话平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团委成立大学生维权中心的建立是引导学生加强自我管理、达到自我发展、维护大学生自身合法权益的目的，维权中心将始终坚持“了青年情，解青年困”的宗旨，行动在为同学服务的第一线。大学生维权中心的职责是搜集信息，对我校大学生所存在的问题进行了解，给同学们一个申述的平台。开展了大学生维权中心会议，替学生维权，为学生发声，全心全意为学生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团员的发展进取离不开活动，丰富多彩的团学活动使广大同学们充满生机。为了加强团组织的凝聚力，以及广大团员的组织能力。举办新生班级大合唱比赛、操场舞大赛、GBA篮球比赛等活动。进一步丰富校园生活，挖掘人才，提升校园文化品位和大学生的艺术修养，为培养优秀大学生创造良好的条件。师生艺术作品展是我校集中展示艺术专业教学水平和艺术类工作室教学成果以及师生艺术创作技能的平台。通过艺术作品展活跃校园文化，营造浓厚的艺术氛围，陶冶师生情操，提高大学生的审美能力和综合素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辽宁广告职业学院团委秉承历来的工作作风，以先进的思想为指导，全体成员团结合作，举办特色的文化活动，组织团建创新工作。为学生提供展示自我的舞台，也带领广大学生走向社会、紧跟时代脚步、保持自身的先进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Cs/>
          <w:snapToGrid w:val="0"/>
          <w:kern w:val="0"/>
          <w:sz w:val="32"/>
          <w:szCs w:val="32"/>
          <w:lang w:val="en-US" w:eastAsia="zh-CN"/>
        </w:rPr>
      </w:pPr>
      <w:r>
        <w:rPr>
          <w:rFonts w:hint="eastAsia" w:ascii="黑体" w:hAnsi="黑体" w:eastAsia="黑体" w:cs="黑体"/>
          <w:bCs/>
          <w:snapToGrid w:val="0"/>
          <w:kern w:val="0"/>
          <w:sz w:val="32"/>
          <w:szCs w:val="32"/>
          <w:lang w:val="en-US" w:eastAsia="zh-CN"/>
        </w:rPr>
        <w:t>二、学校章程修订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辽宁广告职业学院2</w:t>
      </w:r>
      <w:r>
        <w:rPr>
          <w:rFonts w:ascii="仿宋_GB2312" w:hAnsi="仿宋" w:eastAsia="仿宋_GB2312" w:cs="仿宋"/>
          <w:color w:val="000000" w:themeColor="text1"/>
          <w:sz w:val="32"/>
          <w:szCs w:val="32"/>
          <w:highlight w:val="none"/>
          <w14:textFill>
            <w14:solidFill>
              <w14:schemeClr w14:val="tx1"/>
            </w14:solidFill>
          </w14:textFill>
        </w:rPr>
        <w:t>021</w:t>
      </w:r>
      <w:r>
        <w:rPr>
          <w:rFonts w:hint="eastAsia" w:ascii="仿宋_GB2312" w:hAnsi="仿宋" w:eastAsia="仿宋_GB2312" w:cs="仿宋"/>
          <w:color w:val="000000" w:themeColor="text1"/>
          <w:sz w:val="32"/>
          <w:szCs w:val="32"/>
          <w:highlight w:val="none"/>
          <w14:textFill>
            <w14:solidFill>
              <w14:schemeClr w14:val="tx1"/>
            </w14:solidFill>
          </w14:textFill>
        </w:rPr>
        <w:t>年1</w:t>
      </w:r>
      <w:r>
        <w:rPr>
          <w:rFonts w:ascii="仿宋_GB2312" w:hAnsi="仿宋" w:eastAsia="仿宋_GB2312" w:cs="仿宋"/>
          <w:color w:val="000000" w:themeColor="text1"/>
          <w:sz w:val="32"/>
          <w:szCs w:val="32"/>
          <w:highlight w:val="none"/>
          <w14:textFill>
            <w14:solidFill>
              <w14:schemeClr w14:val="tx1"/>
            </w14:solidFill>
          </w14:textFill>
        </w:rPr>
        <w:t>2</w:t>
      </w:r>
      <w:r>
        <w:rPr>
          <w:rFonts w:hint="eastAsia" w:ascii="仿宋_GB2312" w:hAnsi="仿宋" w:eastAsia="仿宋_GB2312" w:cs="仿宋"/>
          <w:color w:val="000000" w:themeColor="text1"/>
          <w:sz w:val="32"/>
          <w:szCs w:val="32"/>
          <w:highlight w:val="none"/>
          <w14:textFill>
            <w14:solidFill>
              <w14:schemeClr w14:val="tx1"/>
            </w14:solidFill>
          </w14:textFill>
        </w:rPr>
        <w:t>月根据《辽宁省教育厅办公室关于启动新一轮高等学校章程修订工作的通知》要求，依据《中华人民共和国教育法》《中华人民共和国高等教育法》《高等学校章程制定暂行办法》等法律法规规章，对学院章程进行了修订，修订内容依照辽教办〔2021〕45号《辽宁省教育厅办公室关于深入贯彻落实党的教育方针进一步做好党的建设有关内容写入民办学校章程工作的通知》文件精神立即启动学院章程修订工作，从学院长远发展及实际办学情况出发对学院章程进行了修订，主要修订了党建工作内容，通过修订学院章程由原来的十章五十八条，修订为十一章共六十六条，增加第五章党建工作，将原章程中表述不准确及未按要求写入的内容进行了删改与增加，修改项目共计44项，主要是在增减条目后调整条目序号。</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2022年根据省厅对学院章程的修改意见对章程进行了两次修改。再修改后章程已报送省教育厅。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辽宁广告职业学院章程》明确学院办学的理念，办学宗旨、基本职能、发展目标以及校训、校徽、校歌等学校标识。明确学院与社会之间的关系，突出社会对学校建设与发展的参与支持，健全社会参与监督机制。明确学院的内部治理结构，在组织管理上分别明确了学院党委、行政、教学、教学科研机构、民主管理和民主监督机构的职责和权限，对他们各自的运行方式作了界定，平衡和协调学院内部行政权力、学术权力和民主权力的关系。在教学上强调教学委员会是学院统筹行使教学事务的决策、审议、评定和咨询等职权的最高教学机构，强调教学委员会作为学院最高学术机构，统筹行使学术事务的决策、审议、评定和咨询等职权。在章程中体现师生权益保障机制。</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2022年学院领导班子深刻领会章程意义，凝聚学校改革发展共识，有效落实章程内容，优化学校内部治理结构，推进学校依法治校进程，切实维护章程权威，完善学校规章制度体系，增强办学实力，提高办学质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napToGrid w:val="0"/>
          <w:kern w:val="0"/>
          <w:sz w:val="32"/>
          <w:szCs w:val="32"/>
          <w:lang w:val="en-US" w:eastAsia="zh-CN"/>
        </w:rPr>
      </w:pPr>
      <w:r>
        <w:rPr>
          <w:rFonts w:hint="eastAsia" w:ascii="黑体" w:hAnsi="黑体" w:eastAsia="黑体" w:cs="黑体"/>
          <w:bCs/>
          <w:snapToGrid w:val="0"/>
          <w:kern w:val="0"/>
          <w:sz w:val="32"/>
          <w:szCs w:val="32"/>
          <w:lang w:val="en-US" w:eastAsia="zh-CN"/>
        </w:rPr>
        <w:t>三、校长履职情况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highlight w:val="none"/>
          <w:lang w:val="en-US" w:eastAsia="zh-CN"/>
        </w:rPr>
        <w:t>辽宁广告职业院长由王纯菲教授担任，实行董</w:t>
      </w:r>
      <w:r>
        <w:rPr>
          <w:rFonts w:hint="eastAsia" w:ascii="仿宋_GB2312" w:hAnsi="仿宋_GB2312" w:eastAsia="仿宋_GB2312" w:cs="仿宋_GB2312"/>
          <w:bCs/>
          <w:snapToGrid w:val="0"/>
          <w:kern w:val="0"/>
          <w:sz w:val="32"/>
          <w:szCs w:val="32"/>
          <w:lang w:val="en-US" w:eastAsia="zh-CN"/>
        </w:rPr>
        <w:t>事会领导下的院长负责制，认真履行校长职责，在辽宁省委教育工委、辽宁省教育厅的坚强领导下，高举习近平新时代中国特色社会主义思想伟大旗帜，深入学习贯彻党的二十大精神，认真学习习近平总书记在辽宁考察时的重要讲话精神和指示批示精神，全面加强党的领导，切实提高人才培养质量，努力在实现辽宁全面振兴新突破上贡献力量。在党的领导下，学院领导班子在院长引领下高举伟大旗帜，深刻领悟“两个确立”的决定性意义，认真学习贯彻党的二十大精神，提高政治能力，坚定不移以习近平同志为核心的党中央保持高度一致，坚持党的领导，始终把牢正确办学方向，加强内涵建设，以高质量办学成果服务辽宁全面振兴，提升治理能力，在统筹事业发展与安全上彰显担当作为，着力构建内部治理制度体系。积极承担辽宁省社会文化服务类职业教育培养标准化试点工作，重新建构学校治理制度体系，坚决扛起维护国家“五大安全”的政治责任，统筹疫情防控和事业发展，高度重视疫情防控工作，严格落实“一把手”住校要求，高度关注民生工作。将就业工作作为重要民生工程和政治任务，提高安全保障水平，后勤服务质量，积极开展书记校长访企拓岗工作。2022年学院办学水平显著提高。</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Cs/>
          <w:snapToGrid w:val="0"/>
          <w:kern w:val="0"/>
          <w:sz w:val="32"/>
          <w:szCs w:val="32"/>
          <w:lang w:val="en-US" w:eastAsia="zh-CN"/>
        </w:rPr>
      </w:pPr>
      <w:r>
        <w:rPr>
          <w:rFonts w:hint="eastAsia" w:ascii="黑体" w:hAnsi="黑体" w:eastAsia="黑体" w:cs="黑体"/>
          <w:bCs/>
          <w:snapToGrid w:val="0"/>
          <w:kern w:val="0"/>
          <w:sz w:val="32"/>
          <w:szCs w:val="32"/>
          <w:lang w:val="en-US" w:eastAsia="zh-CN"/>
        </w:rPr>
        <w:t>四、办学情况</w:t>
      </w:r>
      <w:bookmarkStart w:id="3" w:name="_GoBack"/>
      <w:bookmarkEnd w:id="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（一）依法办学</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学院认真贯彻落实党和国家有关教育发展的各项方针政策、法律法规，认真贯彻落实《中华人民共和国教育法》《中华人民共和国高等教育法》《中华人民共和国民办教育促进法》《中华人民共和国教师法》《中华人民共和国劳动法》《会计法》等法律法规，按照教育部相关要求，</w:t>
      </w:r>
      <w:r>
        <w:rPr>
          <w:rFonts w:hint="eastAsia" w:ascii="仿宋_GB2312" w:hAnsi="仿宋_GB2312" w:eastAsia="仿宋_GB2312" w:cs="仿宋_GB2312"/>
          <w:bCs/>
          <w:snapToGrid w:val="0"/>
          <w:kern w:val="0"/>
          <w:sz w:val="32"/>
          <w:szCs w:val="32"/>
          <w:lang w:val="en-US" w:eastAsia="zh-CN"/>
        </w:rPr>
        <w:t>完善</w:t>
      </w:r>
      <w:r>
        <w:rPr>
          <w:rFonts w:hint="default" w:ascii="仿宋_GB2312" w:hAnsi="仿宋_GB2312" w:eastAsia="仿宋_GB2312" w:cs="仿宋_GB2312"/>
          <w:bCs/>
          <w:snapToGrid w:val="0"/>
          <w:kern w:val="0"/>
          <w:sz w:val="32"/>
          <w:szCs w:val="32"/>
          <w:lang w:val="en-US" w:eastAsia="zh-CN"/>
        </w:rPr>
        <w:t>专业委员会</w:t>
      </w:r>
      <w:r>
        <w:rPr>
          <w:rFonts w:hint="eastAsia" w:ascii="仿宋_GB2312" w:hAnsi="仿宋_GB2312" w:eastAsia="仿宋_GB2312" w:cs="仿宋_GB2312"/>
          <w:bCs/>
          <w:snapToGrid w:val="0"/>
          <w:kern w:val="0"/>
          <w:sz w:val="32"/>
          <w:szCs w:val="32"/>
          <w:lang w:val="en-US" w:eastAsia="zh-CN"/>
        </w:rPr>
        <w:t>及</w:t>
      </w:r>
      <w:r>
        <w:rPr>
          <w:rFonts w:hint="default" w:ascii="仿宋_GB2312" w:hAnsi="仿宋_GB2312" w:eastAsia="仿宋_GB2312" w:cs="仿宋_GB2312"/>
          <w:bCs/>
          <w:snapToGrid w:val="0"/>
          <w:kern w:val="0"/>
          <w:sz w:val="32"/>
          <w:szCs w:val="32"/>
          <w:lang w:val="en-US" w:eastAsia="zh-CN"/>
        </w:rPr>
        <w:t>教职工代表大会制度，实行依法治校、民主治校，探索现代高职学院建设，推进治理体系和治理能力现代化。</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学院认真贯彻执行国家各项财经制度，严格遵守《会计法》《高等学校财务制度》《高等学校会计制度》等相关规定，坚持公开、公平、公正原则，建立健全学院财务制度，全面实施预算管理，开源节流，认真执行《会计法》，坚决遵守收费方面的法律法规及“收支两条线”的有关规定，加强经济核算，实施绩效评价，提高资金使用效率，强化财务控制与监督，防范财务风险。</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学院认真执行国家制定的一系列大学生资助工作制度。按照《高等职业学</w:t>
      </w:r>
      <w:r>
        <w:rPr>
          <w:rFonts w:hint="eastAsia" w:ascii="仿宋_GB2312" w:hAnsi="仿宋_GB2312" w:eastAsia="仿宋_GB2312" w:cs="仿宋_GB2312"/>
          <w:bCs/>
          <w:snapToGrid w:val="0"/>
          <w:kern w:val="0"/>
          <w:sz w:val="32"/>
          <w:szCs w:val="32"/>
          <w:lang w:val="en-US" w:eastAsia="zh-CN"/>
        </w:rPr>
        <w:t>校</w:t>
      </w:r>
      <w:r>
        <w:rPr>
          <w:rFonts w:hint="default" w:ascii="仿宋_GB2312" w:hAnsi="仿宋_GB2312" w:eastAsia="仿宋_GB2312" w:cs="仿宋_GB2312"/>
          <w:bCs/>
          <w:snapToGrid w:val="0"/>
          <w:kern w:val="0"/>
          <w:sz w:val="32"/>
          <w:szCs w:val="32"/>
          <w:lang w:val="en-US" w:eastAsia="zh-CN"/>
        </w:rPr>
        <w:t>国家奖学金管理暂行办法》等相关规定，成立组织机构，制定和完善了学院的《贫困生资助与管理实施细则》《优秀学生奖学金评定实施办法》《勤工助学管理条例》《新生入学“绿色通道”管理办法》等保障措施，严格履行资助程序，确保政策、资金落实到位，使家庭困难的学生顺利完成学业。资助工作管理部门和财务、纪检监察部门全程对各级各类奖学金助学金的评审和发放工作进行跟踪检查。</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学院认真贯彻执行国家的劳动人事制度，严格执行《劳动法》与《合同法》的相关规定，确保全体教工享有各项应得的权利。</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学院认真落实党和国家关于职业院校参与校企合作的相关政策，制定了《校企合作管理制度》，制定了学分制转换的管理制度，保证了校企合作工作的顺利开展，明确了学生参与顶岗实习、实习工作的相关权利与责任，切实保障了学生在用人单位的合法权益。</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疫情期间学院严格按照国家、地方相关法律法规进行疫情防控工作，确保疫情期间校园平稳安全。</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学院全面贯彻执行国家教育方针政策，遵守相关法律法规及文件规定，整体实现了依法办学、依法治校的良好氛围。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（二）安全管理</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学院领导高度重视校园安全建设工作，以平安校园建设工作为中心，对安全稳定工作进行专项部署，成立了平安校园建设工作领导小组和突发事件应急处置小组，在宣传教育、培训演练、安全隐患排查等方面积极开展工作，通过组织培训和自救演练、讲座等方式提升了师生们的应急避险、逃生自救能力，完善了各级各类规章制度和应急处置预案。学院校园安全工作各部门责任分工明确，做到“谁主管、谁负责，谁在岗、谁负责，谁出错、谁负责”。对学院内重点场所进行安全隐患排查、对校园周边环境存在的隐患进行排查。完善校园视频监控系统。全院监控摄像头覆盖率达到98%，提高校园内预警机制和对突发事件的防范能力。学院消防设施和应急照明设备配备齐全，消防通道畅通安全出口标识清晰醒目，消防器材完好，符合消防部门要求。</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每学期认真排查心理问题学生，持续关注新型冠状病毒感染疫情形势下学生心理问题。经过排查，</w:t>
      </w:r>
      <w:r>
        <w:rPr>
          <w:rFonts w:hint="eastAsia" w:ascii="仿宋_GB2312" w:hAnsi="仿宋_GB2312" w:eastAsia="仿宋_GB2312" w:cs="仿宋_GB2312"/>
          <w:bCs/>
          <w:snapToGrid w:val="0"/>
          <w:kern w:val="0"/>
          <w:sz w:val="32"/>
          <w:szCs w:val="32"/>
          <w:lang w:val="en-US" w:eastAsia="zh-CN"/>
        </w:rPr>
        <w:t>学</w:t>
      </w:r>
      <w:r>
        <w:rPr>
          <w:rFonts w:hint="default" w:ascii="仿宋_GB2312" w:hAnsi="仿宋_GB2312" w:eastAsia="仿宋_GB2312" w:cs="仿宋_GB2312"/>
          <w:bCs/>
          <w:snapToGrid w:val="0"/>
          <w:kern w:val="0"/>
          <w:sz w:val="32"/>
          <w:szCs w:val="32"/>
          <w:lang w:val="en-US" w:eastAsia="zh-CN"/>
        </w:rPr>
        <w:t>院没有心理重症学生。秋季学期开设大学生心理健康教育必修课程，开展好心理健康知识宣传、教育引导。制定</w:t>
      </w:r>
      <w:r>
        <w:rPr>
          <w:rFonts w:hint="eastAsia" w:ascii="仿宋_GB2312" w:hAnsi="仿宋_GB2312" w:eastAsia="仿宋_GB2312" w:cs="仿宋_GB2312"/>
          <w:bCs/>
          <w:snapToGrid w:val="0"/>
          <w:kern w:val="0"/>
          <w:sz w:val="32"/>
          <w:szCs w:val="32"/>
          <w:lang w:val="en-US" w:eastAsia="zh-CN"/>
        </w:rPr>
        <w:t>学</w:t>
      </w:r>
      <w:r>
        <w:rPr>
          <w:rFonts w:hint="default" w:ascii="仿宋_GB2312" w:hAnsi="仿宋_GB2312" w:eastAsia="仿宋_GB2312" w:cs="仿宋_GB2312"/>
          <w:bCs/>
          <w:snapToGrid w:val="0"/>
          <w:kern w:val="0"/>
          <w:sz w:val="32"/>
          <w:szCs w:val="32"/>
          <w:lang w:val="en-US" w:eastAsia="zh-CN"/>
        </w:rPr>
        <w:t>院《新冠病毒感染下学生突出心理问题防治工作实施方案》和《新冠病毒感染下学生突出心理问题专项工作方案》，为学生提供心理健康指导和帮助，及时化解学生负面情绪。</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202</w:t>
      </w:r>
      <w:r>
        <w:rPr>
          <w:rFonts w:hint="eastAsia" w:ascii="仿宋_GB2312" w:hAnsi="仿宋_GB2312" w:eastAsia="仿宋_GB2312" w:cs="仿宋_GB2312"/>
          <w:bCs/>
          <w:snapToGrid w:val="0"/>
          <w:kern w:val="0"/>
          <w:sz w:val="32"/>
          <w:szCs w:val="32"/>
          <w:lang w:val="en-US" w:eastAsia="zh-CN"/>
        </w:rPr>
        <w:t>2</w:t>
      </w:r>
      <w:r>
        <w:rPr>
          <w:rFonts w:hint="default" w:ascii="仿宋_GB2312" w:hAnsi="仿宋_GB2312" w:eastAsia="仿宋_GB2312" w:cs="仿宋_GB2312"/>
          <w:bCs/>
          <w:snapToGrid w:val="0"/>
          <w:kern w:val="0"/>
          <w:sz w:val="32"/>
          <w:szCs w:val="32"/>
          <w:lang w:val="en-US" w:eastAsia="zh-CN"/>
        </w:rPr>
        <w:t>年高度重视疫情防控工作，严格落实“一把手”住校要求，制定“零漏洞”“零事故”“零违纪”的疫情防控“三个零”标准，高质量完成学生阶段性返校组织，以最严标准完成静默期管理，全校学生无一人感染。总结凝练疫情防控经验，以“五个一”设计理念打造“抗疫优胜展”，探索以重大政治题材、重大政治任务、学校重点工作为牵引，高质量党建与事业高质量发展的融合之路。成立工作专班，高标准建设健康驿站，床位达120个，全力保障师生健康安全。全年疫情防控始终校园“零输入”，师生“零感染”。</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2022年学院未出现严重的安全事故。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（三）教育教学情况</w:t>
      </w:r>
    </w:p>
    <w:p>
      <w:pPr>
        <w:keepNext w:val="0"/>
        <w:keepLines w:val="0"/>
        <w:pageBreakBefore w:val="0"/>
        <w:tabs>
          <w:tab w:val="left" w:pos="3933"/>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napToGrid w:val="0"/>
          <w:kern w:val="0"/>
          <w:sz w:val="32"/>
          <w:szCs w:val="32"/>
          <w:lang w:val="en-US" w:eastAsia="zh-CN"/>
        </w:rPr>
      </w:pPr>
      <w:r>
        <w:rPr>
          <w:rFonts w:hint="eastAsia" w:ascii="仿宋_GB2312" w:hAnsi="仿宋_GB2312" w:eastAsia="仿宋_GB2312" w:cs="仿宋_GB2312"/>
          <w:b/>
          <w:bCs w:val="0"/>
          <w:snapToGrid w:val="0"/>
          <w:kern w:val="0"/>
          <w:sz w:val="32"/>
          <w:szCs w:val="32"/>
          <w:lang w:val="en-US" w:eastAsia="zh-CN"/>
        </w:rPr>
        <w:t>1.教学活动开展情况</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学校领导班子深入贯彻落实我省民办高等教育高质量发展要求，自觉增强为党育人、为国育才的政治担当，心怀“国之大者”，努力在服务新时代辽宁振兴发展上展现更大担当作为。</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（1）</w:t>
      </w:r>
      <w:r>
        <w:rPr>
          <w:rFonts w:hint="default" w:ascii="仿宋_GB2312" w:hAnsi="仿宋_GB2312" w:eastAsia="仿宋_GB2312" w:cs="仿宋_GB2312"/>
          <w:bCs/>
          <w:snapToGrid w:val="0"/>
          <w:kern w:val="0"/>
          <w:sz w:val="32"/>
          <w:szCs w:val="32"/>
          <w:lang w:val="en-US" w:eastAsia="zh-CN"/>
        </w:rPr>
        <w:t>高水平规划发展战略方位。认真总结分析学校专业评估情况、专业建设成果情况和师资队伍建设情况，高站位规划发展目标，明确了学校事业要“背靠广告行业发展，专业建在产业链上，坚持数字赋能，凸显办学特色”的发展思路，分层次建设现有专业，按照“双高计划”标准培育全国一流专业。实施“数字强校战略”。以“数字赋能职业教育发展，推动产教融合校企合作”为主题，成功召开“1+X”数字教育学术论坛，成立“数字人才培训基地”“数字营销实训基地”“东北数字文旅产业研究中心”“数字建筑人才培训基地”“终身教育研究院”“东北数字乡村产业基地”等6家数字教育联盟，深度推进产教融合、校企合作，立足辽宁服务产业发展。</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（2）</w:t>
      </w:r>
      <w:r>
        <w:rPr>
          <w:rFonts w:hint="default" w:ascii="仿宋_GB2312" w:hAnsi="仿宋_GB2312" w:eastAsia="仿宋_GB2312" w:cs="仿宋_GB2312"/>
          <w:bCs/>
          <w:snapToGrid w:val="0"/>
          <w:kern w:val="0"/>
          <w:sz w:val="32"/>
          <w:szCs w:val="32"/>
          <w:lang w:val="en-US" w:eastAsia="zh-CN"/>
        </w:rPr>
        <w:t>高站位构建思政工作体系。找准特色办学、技能育人的结合点，建立“三全育人”“五育并举”有机融合的思想政治工作体系。持续擦亮“二元互导”思政教育品牌，开展“领航工程”“强基工程”“先锋工程”和“青春校园行动”，讲好辽广青年学生永远跟党走的青春故事。以“三融四新”为育人模式，推动思政教育和专业教育全方位融合，1门课程入选辽宁省职业院校课程思政教学典型案例。将共产党人的精神谱系、辽宁六地红色文化资源、劳模劳动工匠精神教育融入思政课程，制定“大思政课”建设方案，打造大思政品牌“金课”。召开课程思政建设专题研讨会和三全育人综合改革推进会，《图形创意——传统纹样设计》课程案例入选2022年《辽宁省职业院校课程思政教学典型案例汇编》。成功申报教育部“一站式”学生社区综合管理模式自主试点高校，这是学校首个获评的国家级思政立项。</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（3）</w:t>
      </w:r>
      <w:r>
        <w:rPr>
          <w:rFonts w:hint="default" w:ascii="仿宋_GB2312" w:hAnsi="仿宋_GB2312" w:eastAsia="仿宋_GB2312" w:cs="仿宋_GB2312"/>
          <w:bCs/>
          <w:snapToGrid w:val="0"/>
          <w:kern w:val="0"/>
          <w:sz w:val="32"/>
          <w:szCs w:val="32"/>
          <w:lang w:val="en-US" w:eastAsia="zh-CN"/>
        </w:rPr>
        <w:t>高标准打造服务辽宁振兴发展的高水平专业群。以星级专业评估为契机，对标“双高”建设标准和星级专业建设指标，打造了现代服务艺术设计、旅游服务专业群、电子商务专业群，将学校专业以专业群为支撑形成合力。持续优化专业设置，围绕高职院校数字化转型这一发展契机，健全对接产业、着眼专业群集聚效应、自我完善的专业群发展机制。牵头制定了广告艺术设计、社区管理与服务2个专业的辽宁省星级专业评估教学标准，为我省高职专业建设树立了“辽广标准”；目前，学校已入围“2022年省级职业技能培训示范基地项目”，3个建设专业进入进校现场考察阶段。</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（4）</w:t>
      </w:r>
      <w:r>
        <w:rPr>
          <w:rFonts w:hint="default" w:ascii="仿宋_GB2312" w:hAnsi="仿宋_GB2312" w:eastAsia="仿宋_GB2312" w:cs="仿宋_GB2312"/>
          <w:bCs/>
          <w:snapToGrid w:val="0"/>
          <w:kern w:val="0"/>
          <w:sz w:val="32"/>
          <w:szCs w:val="32"/>
          <w:lang w:val="en-US" w:eastAsia="zh-CN"/>
        </w:rPr>
        <w:t>深化教育教学改革。持续推进“三教”改革。获评省级教改立项5项。探索口诀技能教学法、视频教学法等，不断改进技能教学方式方法；通过将工作室项目教学引入课堂，不断改进教学方法增强学生专业技术能力。大力推进教材改革和创新，鼓励校本特色教材建设；合理调整布局结构、提高实践占比；打破常规束缚，加强行业联系，突出应用性，及时更新教材内容。成立线上精品课录制中心，购置最新型的双屏便携式录播系统，对录播室进行升级改造，制定线上精品课录制视频审核标准，规范精品课程中教学录像的录制管理和内容审核，保障课程录制质量，目前已有8个教师团队开展线上精品课录制工作。打造“双师型”教师队伍，全年新引进各类教师27人；评定正高级职称1人，副高级职称7人，高级职称占比达28%。学校教师在2022全国烹饪技能锦标赛中获铜奖1项；金善范陶艺工作室获得“2022年辽宁省教科文卫体系统职工创新工作室”。</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（5）</w:t>
      </w:r>
      <w:r>
        <w:rPr>
          <w:rFonts w:hint="default" w:ascii="仿宋_GB2312" w:hAnsi="仿宋_GB2312" w:eastAsia="仿宋_GB2312" w:cs="仿宋_GB2312"/>
          <w:bCs/>
          <w:snapToGrid w:val="0"/>
          <w:kern w:val="0"/>
          <w:sz w:val="32"/>
          <w:szCs w:val="32"/>
          <w:lang w:val="en-US" w:eastAsia="zh-CN"/>
        </w:rPr>
        <w:t>人才培养质量持续提高。构建教学质量保障体系。2022年上半年开设线上课程201门，达21258课时，下半年实行线上线下混合式教学，先后实行技能口诀教学法、单体教学演示法、作业评点校正法、主助学三元交互方法等；制定《线上教学方案》《线上教学听评课方案》《提高线上教学质量方案》确保线上教学质量。持续开展“1+X”证书试点，升级人才培养方案。完成辽宁省社会培训评价组织16个证书的申报工作，2022年全国1+X证书试点考点申报数量达到10个；推进国家学分银行书证融通工作，7个1+X证书进入该序列。参加“辽宁省第十九届职业院校技能大赛学生岗赛课证融通比赛”，获全省第6名。学校对考生的吸引力显著提升，招生录取人数同比增加49.54%，工科生源大幅度增加，生源质量明显改善。学校作为辽宁省第一届职业技能大赛高级合作伙伴，承接了赛事的全媒体宣传工作，并获省三等奖1项；组织承办沈阳市第一届职业技能大赛中的两项赛事，获一等奖2项，二等奖2项，三等奖1项。学生竞赛成绩斐然，获得省第八届大学生创新创业大赛铜奖2项，第五届辽宁高校校园心理情景剧大赛二等奖；获省高职院校信息素养大赛三等奖1项，学校获优秀组织奖。</w:t>
      </w:r>
    </w:p>
    <w:p>
      <w:pPr>
        <w:keepNext w:val="0"/>
        <w:keepLines w:val="0"/>
        <w:pageBreakBefore w:val="0"/>
        <w:tabs>
          <w:tab w:val="left" w:pos="3933"/>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napToGrid w:val="0"/>
          <w:kern w:val="0"/>
          <w:sz w:val="32"/>
          <w:szCs w:val="32"/>
          <w:lang w:val="en-US" w:eastAsia="zh-CN"/>
        </w:rPr>
      </w:pPr>
      <w:r>
        <w:rPr>
          <w:rFonts w:hint="eastAsia" w:ascii="仿宋_GB2312" w:hAnsi="仿宋_GB2312" w:eastAsia="仿宋_GB2312" w:cs="仿宋_GB2312"/>
          <w:b/>
          <w:bCs w:val="0"/>
          <w:snapToGrid w:val="0"/>
          <w:kern w:val="0"/>
          <w:sz w:val="32"/>
          <w:szCs w:val="32"/>
          <w:lang w:val="en-US" w:eastAsia="zh-CN"/>
        </w:rPr>
        <w:t>2.教育活动开展情况</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（1）召开“防火防盗”讲座</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通过召开“防火防盗”讲座，简要介绍相关法律法规，使学生对防火防盗知识有更直观的了解，增强学生们的安全防范意识和自救能力。</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（2）一封家书活动</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在疫情期封校期间，为了缓解学生对家的想念，以更好的状态投入到学习中，由学生处联合教学部及各系开展新生入学“第一封家书”活动。倡导学生向父母直抒胸臆，用文字聚光传递孝敬，将丰富充实的大学生活和对家人的牵挂，用真挚、朴实、温暖的家书，跨越时空直达每个家庭。此次活动加快了新同学适应大学生活的速度，抒发了情感，促进了快乐轻松、积极正向的大学生活，体现学院关爱，为大学生活打下良好开端。一份份浓浓温情跃然纸上，诉说思念与憧憬，报平安与喜乐，直达父母心田。</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（3）“振奋人心 弘扬正气 树立形象”主题“抗疫优胜展”</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由学院艺术教学部主办、设计的“振奋人心，弘扬正气，树立形象”主题抗疫优胜展在辽宁广告职业学院艺汇中心开展，展览开幕剪彩仪式在艺汇中心前广场举行。本次专题展览共展出图片300余张、视频20余个，讲述2022年3月至今这场抗疫阻击战中的辽广力量。</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（4）建立“一站式”学生社区</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在院党委领导下，结合学院优势特色，以学院现有“学生院长助理团”及其工作场地为基础，打造“一厅，两室，两基地”，“一厅”即“服务大厅”，“两室”即“辅导员名师工作室”和“心理工作室”，“两基地”即“学生党员活动基地”和“学生团员活动基地”建设辽宁广告职业学院“一站式”学生社区。并以“一站式”学生社区综合管理模式为依托，推动学院领导、机关干部、专业教师走入社区，实现生活服务、思想政治教育、师生交流环环相扣，及时发现学生学业、就业、心理、生活等方面存在困难，在深入学生、关心学生、帮助学生中，教育学生、引导学生，切实做到全方位育人。</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（5）学生安全教育工作</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 xml:space="preserve"> 由于疫情原因，学生安全返校及平安放假归家成为重要工作内容，学校制定开学放假工作方案，并进行演练，并于开学前期及放假前对学生进行安全教育，并严格要求辅导员进行安全主题教育班会。周密安排师生返程作息，实行“错时错峰”返校返程，及时提醒学生疫情防控要点，确保每一名学生，平安到校，安全返程。</w:t>
      </w:r>
    </w:p>
    <w:p>
      <w:pPr>
        <w:keepNext w:val="0"/>
        <w:keepLines w:val="0"/>
        <w:pageBreakBefore w:val="0"/>
        <w:tabs>
          <w:tab w:val="left" w:pos="3933"/>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napToGrid w:val="0"/>
          <w:kern w:val="0"/>
          <w:sz w:val="32"/>
          <w:szCs w:val="32"/>
          <w:lang w:val="en-US" w:eastAsia="zh-CN"/>
        </w:rPr>
      </w:pPr>
      <w:r>
        <w:rPr>
          <w:rFonts w:hint="eastAsia" w:ascii="仿宋_GB2312" w:hAnsi="仿宋_GB2312" w:eastAsia="仿宋_GB2312" w:cs="仿宋_GB2312"/>
          <w:b/>
          <w:bCs w:val="0"/>
          <w:snapToGrid w:val="0"/>
          <w:kern w:val="0"/>
          <w:sz w:val="32"/>
          <w:szCs w:val="32"/>
          <w:lang w:val="en-US" w:eastAsia="zh-CN"/>
        </w:rPr>
        <w:t>3.师资队伍建设情况</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为满足高职教育特色，</w:t>
      </w:r>
      <w:r>
        <w:rPr>
          <w:rFonts w:hint="eastAsia" w:ascii="仿宋_GB2312" w:hAnsi="仿宋_GB2312" w:eastAsia="仿宋_GB2312" w:cs="仿宋_GB2312"/>
          <w:bCs/>
          <w:snapToGrid w:val="0"/>
          <w:kern w:val="0"/>
          <w:sz w:val="32"/>
          <w:szCs w:val="32"/>
          <w:lang w:val="en-US" w:eastAsia="zh-CN"/>
        </w:rPr>
        <w:t>学校</w:t>
      </w:r>
      <w:r>
        <w:rPr>
          <w:rFonts w:hint="default" w:ascii="仿宋_GB2312" w:hAnsi="仿宋_GB2312" w:eastAsia="仿宋_GB2312" w:cs="仿宋_GB2312"/>
          <w:bCs/>
          <w:snapToGrid w:val="0"/>
          <w:kern w:val="0"/>
          <w:sz w:val="32"/>
          <w:szCs w:val="32"/>
          <w:lang w:val="en-US" w:eastAsia="zh-CN"/>
        </w:rPr>
        <w:t>建设了一支既能从事理论教学，又有过硬的专业技</w:t>
      </w:r>
      <w:r>
        <w:rPr>
          <w:rFonts w:hint="eastAsia" w:ascii="仿宋_GB2312" w:hAnsi="仿宋_GB2312" w:eastAsia="仿宋_GB2312" w:cs="仿宋_GB2312"/>
          <w:bCs/>
          <w:snapToGrid w:val="0"/>
          <w:kern w:val="0"/>
          <w:sz w:val="32"/>
          <w:szCs w:val="32"/>
          <w:lang w:val="en-US" w:eastAsia="zh-CN"/>
        </w:rPr>
        <w:t>能</w:t>
      </w:r>
      <w:r>
        <w:rPr>
          <w:rFonts w:hint="default" w:ascii="仿宋_GB2312" w:hAnsi="仿宋_GB2312" w:eastAsia="仿宋_GB2312" w:cs="仿宋_GB2312"/>
          <w:bCs/>
          <w:snapToGrid w:val="0"/>
          <w:kern w:val="0"/>
          <w:sz w:val="32"/>
          <w:szCs w:val="32"/>
          <w:lang w:val="en-US" w:eastAsia="zh-CN"/>
        </w:rPr>
        <w:t>，</w:t>
      </w:r>
      <w:r>
        <w:rPr>
          <w:rFonts w:hint="eastAsia" w:ascii="仿宋_GB2312" w:hAnsi="仿宋_GB2312" w:eastAsia="仿宋_GB2312" w:cs="仿宋_GB2312"/>
          <w:bCs/>
          <w:snapToGrid w:val="0"/>
          <w:kern w:val="0"/>
          <w:sz w:val="32"/>
          <w:szCs w:val="32"/>
          <w:lang w:val="en-US" w:eastAsia="zh-CN"/>
        </w:rPr>
        <w:t>并符合</w:t>
      </w:r>
      <w:r>
        <w:rPr>
          <w:rFonts w:hint="default" w:ascii="仿宋_GB2312" w:hAnsi="仿宋_GB2312" w:eastAsia="仿宋_GB2312" w:cs="仿宋_GB2312"/>
          <w:bCs/>
          <w:snapToGrid w:val="0"/>
          <w:kern w:val="0"/>
          <w:sz w:val="32"/>
          <w:szCs w:val="32"/>
          <w:lang w:val="en-US" w:eastAsia="zh-CN"/>
        </w:rPr>
        <w:t>技能型人才培养要求的“双师型”教师队伍。</w:t>
      </w:r>
      <w:r>
        <w:rPr>
          <w:rFonts w:hint="eastAsia" w:ascii="仿宋_GB2312" w:hAnsi="仿宋_GB2312" w:eastAsia="仿宋_GB2312" w:cs="仿宋_GB2312"/>
          <w:bCs/>
          <w:snapToGrid w:val="0"/>
          <w:kern w:val="0"/>
          <w:sz w:val="32"/>
          <w:szCs w:val="32"/>
          <w:lang w:val="en-US" w:eastAsia="zh-CN"/>
        </w:rPr>
        <w:t>“</w:t>
      </w:r>
      <w:r>
        <w:rPr>
          <w:rFonts w:hint="default" w:ascii="仿宋_GB2312" w:hAnsi="仿宋_GB2312" w:eastAsia="仿宋_GB2312" w:cs="仿宋_GB2312"/>
          <w:bCs/>
          <w:snapToGrid w:val="0"/>
          <w:kern w:val="0"/>
          <w:sz w:val="32"/>
          <w:szCs w:val="32"/>
          <w:lang w:val="en-US" w:eastAsia="zh-CN"/>
        </w:rPr>
        <w:t>双师型</w:t>
      </w:r>
      <w:r>
        <w:rPr>
          <w:rFonts w:hint="eastAsia" w:ascii="仿宋_GB2312" w:hAnsi="仿宋_GB2312" w:eastAsia="仿宋_GB2312" w:cs="仿宋_GB2312"/>
          <w:bCs/>
          <w:snapToGrid w:val="0"/>
          <w:kern w:val="0"/>
          <w:sz w:val="32"/>
          <w:szCs w:val="32"/>
          <w:lang w:val="en-US" w:eastAsia="zh-CN"/>
        </w:rPr>
        <w:t>”</w:t>
      </w:r>
      <w:r>
        <w:rPr>
          <w:rFonts w:hint="default" w:ascii="仿宋_GB2312" w:hAnsi="仿宋_GB2312" w:eastAsia="仿宋_GB2312" w:cs="仿宋_GB2312"/>
          <w:bCs/>
          <w:snapToGrid w:val="0"/>
          <w:kern w:val="0"/>
          <w:sz w:val="32"/>
          <w:szCs w:val="32"/>
          <w:lang w:val="en-US" w:eastAsia="zh-CN"/>
        </w:rPr>
        <w:t>教师占专任教师的近60%，通过各方努力逐渐扩大“双师型”教师比例，努力追赶其他高职院校的水平</w:t>
      </w:r>
      <w:r>
        <w:rPr>
          <w:rFonts w:hint="eastAsia" w:ascii="仿宋_GB2312" w:hAnsi="仿宋_GB2312" w:eastAsia="仿宋_GB2312" w:cs="仿宋_GB2312"/>
          <w:bCs/>
          <w:snapToGrid w:val="0"/>
          <w:kern w:val="0"/>
          <w:sz w:val="32"/>
          <w:szCs w:val="32"/>
          <w:lang w:val="en-US" w:eastAsia="zh-CN"/>
        </w:rPr>
        <w:t>。同时</w:t>
      </w:r>
      <w:r>
        <w:rPr>
          <w:rFonts w:hint="default" w:ascii="仿宋_GB2312" w:hAnsi="仿宋_GB2312" w:eastAsia="仿宋_GB2312" w:cs="仿宋_GB2312"/>
          <w:bCs/>
          <w:snapToGrid w:val="0"/>
          <w:kern w:val="0"/>
          <w:sz w:val="32"/>
          <w:szCs w:val="32"/>
          <w:lang w:val="en-US" w:eastAsia="zh-CN"/>
        </w:rPr>
        <w:t>优化教师体系结构，进一步提高我</w:t>
      </w:r>
      <w:r>
        <w:rPr>
          <w:rFonts w:hint="eastAsia" w:ascii="仿宋_GB2312" w:hAnsi="仿宋_GB2312" w:eastAsia="仿宋_GB2312" w:cs="仿宋_GB2312"/>
          <w:bCs/>
          <w:snapToGrid w:val="0"/>
          <w:kern w:val="0"/>
          <w:sz w:val="32"/>
          <w:szCs w:val="32"/>
          <w:lang w:val="en-US" w:eastAsia="zh-CN"/>
        </w:rPr>
        <w:t>校</w:t>
      </w:r>
      <w:r>
        <w:rPr>
          <w:rFonts w:hint="default" w:ascii="仿宋_GB2312" w:hAnsi="仿宋_GB2312" w:eastAsia="仿宋_GB2312" w:cs="仿宋_GB2312"/>
          <w:bCs/>
          <w:snapToGrid w:val="0"/>
          <w:kern w:val="0"/>
          <w:sz w:val="32"/>
          <w:szCs w:val="32"/>
          <w:lang w:val="en-US" w:eastAsia="zh-CN"/>
        </w:rPr>
        <w:t>教师专业技能水平。</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第一，根据专业划分和教师技能水平，实行教师分类管理，并制定了考核标准，形成职教管理的网络体系。</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第二，按照高职教学的师资需求，依据教师的教学水平、技能水平，把优秀教师队伍划分为梯级化的三个层次。这种梯级化的师资队伍，在掌握知识体系与技能体系</w:t>
      </w:r>
      <w:r>
        <w:rPr>
          <w:rFonts w:hint="eastAsia" w:ascii="仿宋_GB2312" w:hAnsi="仿宋_GB2312" w:eastAsia="仿宋_GB2312" w:cs="仿宋_GB2312"/>
          <w:bCs/>
          <w:snapToGrid w:val="0"/>
          <w:kern w:val="0"/>
          <w:sz w:val="32"/>
          <w:szCs w:val="32"/>
          <w:lang w:val="en-US" w:eastAsia="zh-CN"/>
        </w:rPr>
        <w:t>的同时</w:t>
      </w:r>
      <w:r>
        <w:rPr>
          <w:rFonts w:hint="default" w:ascii="仿宋_GB2312" w:hAnsi="仿宋_GB2312" w:eastAsia="仿宋_GB2312" w:cs="仿宋_GB2312"/>
          <w:bCs/>
          <w:snapToGrid w:val="0"/>
          <w:kern w:val="0"/>
          <w:sz w:val="32"/>
          <w:szCs w:val="32"/>
          <w:lang w:val="en-US" w:eastAsia="zh-CN"/>
        </w:rPr>
        <w:t>，具备实际的市场经验，</w:t>
      </w:r>
      <w:r>
        <w:rPr>
          <w:rFonts w:hint="eastAsia" w:ascii="仿宋_GB2312" w:hAnsi="仿宋_GB2312" w:eastAsia="仿宋_GB2312" w:cs="仿宋_GB2312"/>
          <w:bCs/>
          <w:snapToGrid w:val="0"/>
          <w:kern w:val="0"/>
          <w:sz w:val="32"/>
          <w:szCs w:val="32"/>
          <w:lang w:val="en-US" w:eastAsia="zh-CN"/>
        </w:rPr>
        <w:t>对</w:t>
      </w:r>
      <w:r>
        <w:rPr>
          <w:rFonts w:hint="default" w:ascii="仿宋_GB2312" w:hAnsi="仿宋_GB2312" w:eastAsia="仿宋_GB2312" w:cs="仿宋_GB2312"/>
          <w:bCs/>
          <w:snapToGrid w:val="0"/>
          <w:kern w:val="0"/>
          <w:sz w:val="32"/>
          <w:szCs w:val="32"/>
          <w:lang w:val="en-US" w:eastAsia="zh-CN"/>
        </w:rPr>
        <w:t>富于创新活力方面，起到了导向作用。</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第三，提倡教师以赛促学、以赛促教，积极参加省、市、校级技能大赛。</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第四，积极选派教师脱产参加教育厅、教育部批准的职教师资培训基地或高等院校进行专业理论和专业技能培训。专业教师还利用假期到企业或培训班进行专业理论学习和实践锻炼、顶岗实习等，提高专业技术素质。</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第五，从合作公司企业一线职工中选拔聘请能工巧匠、技术骨干为兼职教师，帮助其他教师提高实践能力，并使其成为稳定的校外兼职教师。</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第六，疫情居家期间要求全体教师利用网络资源，学习相关技能。</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注重教师学术水平提升。学院高度重视教科研工作，进一步完善科研管理系统，推进科研管理手段的信息化，修订制度文件，推动学院科研项目管理工作的规范化和科学化，有效激发教师参与教科研的积极性和研究热情。</w:t>
      </w:r>
    </w:p>
    <w:p>
      <w:pPr>
        <w:keepNext w:val="0"/>
        <w:keepLines w:val="0"/>
        <w:pageBreakBefore w:val="0"/>
        <w:tabs>
          <w:tab w:val="left" w:pos="3933"/>
        </w:tabs>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snapToGrid w:val="0"/>
          <w:kern w:val="0"/>
          <w:sz w:val="32"/>
          <w:szCs w:val="32"/>
          <w:lang w:val="en-US" w:eastAsia="zh-CN"/>
        </w:rPr>
      </w:pPr>
      <w:r>
        <w:rPr>
          <w:rFonts w:hint="eastAsia" w:ascii="仿宋_GB2312" w:hAnsi="仿宋_GB2312" w:eastAsia="仿宋_GB2312" w:cs="仿宋_GB2312"/>
          <w:b/>
          <w:bCs w:val="0"/>
          <w:snapToGrid w:val="0"/>
          <w:kern w:val="0"/>
          <w:sz w:val="32"/>
          <w:szCs w:val="32"/>
          <w:lang w:val="en-US" w:eastAsia="zh-CN"/>
        </w:rPr>
        <w:t>4.教材管理情况</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为适应高职教育教学发展需要，学院决定编写一部分高水平高职教材，学院教务处组织各系教师进行参编，此项工作正在筹备中。</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（1）依据教学流程，编写技能讲义</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主要采取工作手册式讲义形式，教师根据技能教学流程化讲义新编体例要求进行编写，内容包括：技能成果展示、技能流程、行业标准、教学口诀、课程思政案例等。</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（2）与企业共同开发，共建活页教材</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例如：《电商直播》与华狐电商基地合作共建</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3）随着教学改革工作的推进，为满足技能教学的实用性，组织全院教师进行授课讲义编写。2021--2022学年第二学期，编写讲义57门，2022--2023学年第一学期，新编讲义46门。讲义的编写修订工作将随着学院技能教学的实际需要而持续进行。</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学校严格依法依规并按相关要求审核选用教材，按要求对出现问题的教材进行筛查，并对发现问题的教材按要求进行停用更换。</w:t>
      </w:r>
    </w:p>
    <w:p>
      <w:pPr>
        <w:keepNext w:val="0"/>
        <w:keepLines w:val="0"/>
        <w:pageBreakBefore w:val="0"/>
        <w:tabs>
          <w:tab w:val="left" w:pos="3933"/>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napToGrid w:val="0"/>
          <w:kern w:val="0"/>
          <w:sz w:val="32"/>
          <w:szCs w:val="32"/>
          <w:highlight w:val="none"/>
          <w:lang w:val="en-US" w:eastAsia="zh-CN"/>
        </w:rPr>
      </w:pPr>
      <w:r>
        <w:rPr>
          <w:rFonts w:hint="eastAsia" w:ascii="仿宋_GB2312" w:hAnsi="仿宋_GB2312" w:eastAsia="仿宋_GB2312" w:cs="仿宋_GB2312"/>
          <w:b/>
          <w:bCs w:val="0"/>
          <w:snapToGrid w:val="0"/>
          <w:kern w:val="0"/>
          <w:sz w:val="32"/>
          <w:szCs w:val="32"/>
          <w:highlight w:val="none"/>
          <w:lang w:val="en-US" w:eastAsia="zh-CN"/>
        </w:rPr>
        <w:t>5.1+X教育教学工作</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highlight w:val="none"/>
          <w:lang w:val="en-US" w:eastAsia="zh-CN"/>
        </w:rPr>
      </w:pPr>
      <w:r>
        <w:rPr>
          <w:rFonts w:hint="eastAsia" w:ascii="仿宋_GB2312" w:hAnsi="仿宋_GB2312" w:eastAsia="仿宋_GB2312" w:cs="仿宋_GB2312"/>
          <w:bCs/>
          <w:snapToGrid w:val="0"/>
          <w:kern w:val="0"/>
          <w:sz w:val="32"/>
          <w:szCs w:val="32"/>
          <w:highlight w:val="none"/>
          <w:lang w:val="en-US" w:eastAsia="zh-CN"/>
        </w:rPr>
        <w:t>（1）书证融通</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highlight w:val="none"/>
          <w:lang w:val="en-US" w:eastAsia="zh-CN"/>
        </w:rPr>
      </w:pPr>
      <w:r>
        <w:rPr>
          <w:rFonts w:hint="eastAsia" w:ascii="仿宋_GB2312" w:hAnsi="仿宋_GB2312" w:eastAsia="仿宋_GB2312" w:cs="仿宋_GB2312"/>
          <w:bCs/>
          <w:snapToGrid w:val="0"/>
          <w:kern w:val="0"/>
          <w:sz w:val="32"/>
          <w:szCs w:val="32"/>
          <w:highlight w:val="none"/>
          <w:lang w:val="en-US" w:eastAsia="zh-CN"/>
        </w:rPr>
        <w:t>2022年，推进辽宁省书证融通工作，我校在辽宁省书证融通的人才培养思路下不断精进，促进学院技能教改的发展。现有7个证书进入辽宁省书证融通序列，参与学分银行组织的书证融通工作。同时，师生开展具有学院专业特色的赛证融通，参与辽宁省第十九届职业院校技能大赛的岗赛课证赛项，取得全省排名第六。</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highlight w:val="none"/>
          <w:lang w:val="en-US" w:eastAsia="zh-CN"/>
        </w:rPr>
      </w:pPr>
      <w:r>
        <w:rPr>
          <w:rFonts w:hint="eastAsia" w:ascii="仿宋_GB2312" w:hAnsi="仿宋_GB2312" w:eastAsia="仿宋_GB2312" w:cs="仿宋_GB2312"/>
          <w:bCs/>
          <w:snapToGrid w:val="0"/>
          <w:kern w:val="0"/>
          <w:sz w:val="32"/>
          <w:szCs w:val="32"/>
          <w:highlight w:val="none"/>
          <w:lang w:val="en-US" w:eastAsia="zh-CN"/>
        </w:rPr>
        <w:t>（2）课题立项</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highlight w:val="none"/>
          <w:lang w:val="en-US" w:eastAsia="zh-CN"/>
        </w:rPr>
      </w:pPr>
      <w:r>
        <w:rPr>
          <w:rFonts w:hint="eastAsia" w:ascii="仿宋_GB2312" w:hAnsi="仿宋_GB2312" w:eastAsia="仿宋_GB2312" w:cs="仿宋_GB2312"/>
          <w:bCs/>
          <w:snapToGrid w:val="0"/>
          <w:kern w:val="0"/>
          <w:sz w:val="32"/>
          <w:szCs w:val="32"/>
          <w:highlight w:val="none"/>
          <w:lang w:val="en-US" w:eastAsia="zh-CN"/>
        </w:rPr>
        <w:t>2022年5月，组织参与中国教育发展战略学会终身学习委员会的1+X制度研究课题立项。已立项课题包括《1+X制度下职业能力测评模型探索及效果研究》，以及《1+X证书与工作室项目相融合的教学模式研究》、《1+X制度下互联网营销“岗课赛证”综合实践效果研究》等。</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napToGrid w:val="0"/>
          <w:kern w:val="0"/>
          <w:sz w:val="32"/>
          <w:szCs w:val="32"/>
          <w:highlight w:val="none"/>
          <w:lang w:val="en-US" w:eastAsia="zh-CN"/>
        </w:rPr>
      </w:pPr>
      <w:r>
        <w:rPr>
          <w:rFonts w:hint="eastAsia" w:ascii="仿宋_GB2312" w:hAnsi="仿宋_GB2312" w:eastAsia="仿宋_GB2312" w:cs="仿宋_GB2312"/>
          <w:bCs/>
          <w:snapToGrid w:val="0"/>
          <w:kern w:val="0"/>
          <w:sz w:val="32"/>
          <w:szCs w:val="32"/>
          <w:highlight w:val="none"/>
          <w:lang w:val="en-US" w:eastAsia="zh-CN"/>
        </w:rPr>
        <w:t>现获得1+X师资证书教师50人，覆盖证书类别16个。第一批试点考点申报17个，第二批试点考点申报10个。学生参与培训考证人数244人。2022年12月，室内设计书证融通《工程设计》课程考试，40名学生的平均成绩83.5分，达到证书转换成绩占比为97.5%。2022年，申请社会培训评价组织16个，省级职业技能培训示范基地项目”申报3个。</w:t>
      </w:r>
    </w:p>
    <w:p>
      <w:pPr>
        <w:keepNext w:val="0"/>
        <w:keepLines w:val="0"/>
        <w:pageBreakBefore w:val="0"/>
        <w:tabs>
          <w:tab w:val="left" w:pos="3933"/>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napToGrid w:val="0"/>
          <w:kern w:val="0"/>
          <w:sz w:val="32"/>
          <w:szCs w:val="32"/>
          <w:highlight w:val="none"/>
          <w:lang w:val="en-US" w:eastAsia="zh-CN"/>
        </w:rPr>
      </w:pPr>
      <w:r>
        <w:rPr>
          <w:rFonts w:hint="eastAsia" w:ascii="仿宋_GB2312" w:hAnsi="仿宋_GB2312" w:eastAsia="仿宋_GB2312" w:cs="仿宋_GB2312"/>
          <w:b/>
          <w:bCs w:val="0"/>
          <w:snapToGrid w:val="0"/>
          <w:kern w:val="0"/>
          <w:sz w:val="32"/>
          <w:szCs w:val="32"/>
          <w:highlight w:val="none"/>
          <w:lang w:val="en-US" w:eastAsia="zh-CN"/>
        </w:rPr>
        <w:t>6.就业工作情况</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highlight w:val="none"/>
          <w:lang w:val="en-US" w:eastAsia="zh-CN"/>
        </w:rPr>
      </w:pPr>
      <w:r>
        <w:rPr>
          <w:rFonts w:hint="default" w:ascii="仿宋_GB2312" w:hAnsi="仿宋_GB2312" w:eastAsia="仿宋_GB2312" w:cs="仿宋_GB2312"/>
          <w:bCs/>
          <w:snapToGrid w:val="0"/>
          <w:kern w:val="0"/>
          <w:sz w:val="32"/>
          <w:szCs w:val="32"/>
          <w:highlight w:val="none"/>
          <w:lang w:val="en-US" w:eastAsia="zh-CN"/>
        </w:rPr>
        <w:t>学院2022年毕业生共计3643人，初次毕业去向落实率为82.81%，年终毕业去向落实率为98.74%。</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highlight w:val="none"/>
          <w:lang w:val="en-US" w:eastAsia="zh-CN"/>
        </w:rPr>
      </w:pPr>
      <w:r>
        <w:rPr>
          <w:rFonts w:hint="default" w:ascii="仿宋_GB2312" w:hAnsi="仿宋_GB2312" w:eastAsia="仿宋_GB2312" w:cs="仿宋_GB2312"/>
          <w:bCs/>
          <w:snapToGrid w:val="0"/>
          <w:kern w:val="0"/>
          <w:sz w:val="32"/>
          <w:szCs w:val="32"/>
          <w:highlight w:val="none"/>
          <w:lang w:val="en-US" w:eastAsia="zh-CN"/>
        </w:rPr>
        <w:t>学院领导</w:t>
      </w:r>
      <w:r>
        <w:rPr>
          <w:rFonts w:hint="eastAsia" w:ascii="仿宋_GB2312" w:hAnsi="仿宋_GB2312" w:eastAsia="仿宋_GB2312" w:cs="仿宋_GB2312"/>
          <w:bCs/>
          <w:snapToGrid w:val="0"/>
          <w:kern w:val="0"/>
          <w:sz w:val="32"/>
          <w:szCs w:val="32"/>
          <w:highlight w:val="none"/>
          <w:lang w:val="en-US" w:eastAsia="zh-CN"/>
        </w:rPr>
        <w:t>高度</w:t>
      </w:r>
      <w:r>
        <w:rPr>
          <w:rFonts w:hint="default" w:ascii="仿宋_GB2312" w:hAnsi="仿宋_GB2312" w:eastAsia="仿宋_GB2312" w:cs="仿宋_GB2312"/>
          <w:bCs/>
          <w:snapToGrid w:val="0"/>
          <w:kern w:val="0"/>
          <w:sz w:val="32"/>
          <w:szCs w:val="32"/>
          <w:highlight w:val="none"/>
          <w:lang w:val="en-US" w:eastAsia="zh-CN"/>
        </w:rPr>
        <w:t>重视毕业生就业工作，始终坚持“一把手”负责制，将就业工作纳入学校重要议事日程，</w:t>
      </w:r>
      <w:r>
        <w:rPr>
          <w:rFonts w:hint="eastAsia" w:ascii="仿宋_GB2312" w:hAnsi="仿宋_GB2312" w:eastAsia="仿宋_GB2312" w:cs="仿宋_GB2312"/>
          <w:bCs/>
          <w:snapToGrid w:val="0"/>
          <w:kern w:val="0"/>
          <w:sz w:val="32"/>
          <w:szCs w:val="32"/>
          <w:highlight w:val="none"/>
          <w:lang w:val="en-US" w:eastAsia="zh-CN"/>
        </w:rPr>
        <w:t>领导班子例会</w:t>
      </w:r>
      <w:r>
        <w:rPr>
          <w:rFonts w:hint="default" w:ascii="仿宋_GB2312" w:hAnsi="仿宋_GB2312" w:eastAsia="仿宋_GB2312" w:cs="仿宋_GB2312"/>
          <w:bCs/>
          <w:snapToGrid w:val="0"/>
          <w:kern w:val="0"/>
          <w:sz w:val="32"/>
          <w:szCs w:val="32"/>
          <w:highlight w:val="none"/>
          <w:lang w:val="en-US" w:eastAsia="zh-CN"/>
        </w:rPr>
        <w:t>上听取就业主管领导的工作专题汇报，进行研究部署。院长和党委书记多次亲临就业工作一线指导调研、靠前指挥，出席参加教育部、辽宁省教育厅召开的毕业生就业创业工作网络视频会议，并结合会议精神和要求召开党委会扩大会议对毕业生就业创业工作进一步统筹部署。同时为加强就业工作条件保障，在人员、场地、经费、制度、信息化建设等方面，为全方位推进</w:t>
      </w:r>
      <w:r>
        <w:rPr>
          <w:rFonts w:hint="eastAsia" w:ascii="仿宋_GB2312" w:hAnsi="仿宋_GB2312" w:eastAsia="仿宋_GB2312" w:cs="仿宋_GB2312"/>
          <w:bCs/>
          <w:snapToGrid w:val="0"/>
          <w:kern w:val="0"/>
          <w:sz w:val="32"/>
          <w:szCs w:val="32"/>
          <w:highlight w:val="none"/>
          <w:lang w:val="en-US" w:eastAsia="zh-CN"/>
        </w:rPr>
        <w:t>毕业生</w:t>
      </w:r>
      <w:r>
        <w:rPr>
          <w:rFonts w:hint="default" w:ascii="仿宋_GB2312" w:hAnsi="仿宋_GB2312" w:eastAsia="仿宋_GB2312" w:cs="仿宋_GB2312"/>
          <w:bCs/>
          <w:snapToGrid w:val="0"/>
          <w:kern w:val="0"/>
          <w:sz w:val="32"/>
          <w:szCs w:val="32"/>
          <w:highlight w:val="none"/>
          <w:lang w:val="en-US" w:eastAsia="zh-CN"/>
        </w:rPr>
        <w:t>就业创业工作提供了坚强保障。认真落实书记校长访企拓岗促就业活动，通过各类招聘网络平台、身边的资源，千方百计开拓新企业和新岗位，通过网络视频、实地走访、交流座谈会等多种形式，全年共累计走访开发优质民企262家，岗位数5125个。</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highlight w:val="none"/>
          <w:lang w:val="en-US" w:eastAsia="zh-CN"/>
        </w:rPr>
      </w:pPr>
      <w:r>
        <w:rPr>
          <w:rFonts w:hint="default" w:ascii="仿宋_GB2312" w:hAnsi="仿宋_GB2312" w:eastAsia="仿宋_GB2312" w:cs="仿宋_GB2312"/>
          <w:bCs/>
          <w:snapToGrid w:val="0"/>
          <w:kern w:val="0"/>
          <w:sz w:val="32"/>
          <w:szCs w:val="32"/>
          <w:highlight w:val="none"/>
          <w:lang w:val="en-US" w:eastAsia="zh-CN"/>
        </w:rPr>
        <w:t>学院坚持充分发挥校园招聘主渠道作用，分层次、分类别、分行业广泛开展校园网络招聘活动。疫情期间还创新开展了“直播带岗”、“循环式线上招聘活动周”、“退役军人专场线上招聘会”、“春季大型线上网络视频双选会”等招聘活动。同时充分推广和发挥教育部“24365校园招聘服务”、“国聘行动”平台作用，为毕业生提供 24 小时网上校园招聘服务。累计招聘场次45场，参会企业428家，提供岗位数量13079个。</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highlight w:val="none"/>
          <w:lang w:val="en-US" w:eastAsia="zh-CN"/>
        </w:rPr>
      </w:pPr>
      <w:r>
        <w:rPr>
          <w:rFonts w:hint="default" w:ascii="仿宋_GB2312" w:hAnsi="仿宋_GB2312" w:eastAsia="仿宋_GB2312" w:cs="仿宋_GB2312"/>
          <w:bCs/>
          <w:snapToGrid w:val="0"/>
          <w:kern w:val="0"/>
          <w:sz w:val="32"/>
          <w:szCs w:val="32"/>
          <w:highlight w:val="none"/>
          <w:lang w:val="en-US" w:eastAsia="zh-CN"/>
        </w:rPr>
        <w:t>学院把正确引导毕业生树立正确的职业观、就业观和择业观作为一项重要的大学生思想政治教育任务来抓。为充分发挥生涯规划教育和就业指导在人才培养中的重要作用，学院制定了《就业育人、校聘行动2022届毕业生招聘月系列活动安排》，积极开展以“成才观、职业观、就业观”为核心的就业育人主题教育活动，组织开展了“毕业生就业心理调试”、就业创业政策宣讲进课堂、优秀校友分享等主题讲座累计16场，为学生职业发展助力。</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highlight w:val="none"/>
          <w:lang w:val="en-US" w:eastAsia="zh-CN"/>
        </w:rPr>
      </w:pPr>
      <w:r>
        <w:rPr>
          <w:rFonts w:hint="default" w:ascii="仿宋_GB2312" w:hAnsi="仿宋_GB2312" w:eastAsia="仿宋_GB2312" w:cs="仿宋_GB2312"/>
          <w:bCs/>
          <w:snapToGrid w:val="0"/>
          <w:kern w:val="0"/>
          <w:sz w:val="32"/>
          <w:szCs w:val="32"/>
          <w:highlight w:val="none"/>
          <w:lang w:val="en-US" w:eastAsia="zh-CN"/>
        </w:rPr>
        <w:t>2022年，在《大学生职业生涯规划》《大学生就业指导》《大学生创新创业教育》必修课程实现各专业全过程全覆盖的基础上，学院组建精英团队，投入大学生就业指导精品课程建设中。</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highlight w:val="none"/>
          <w:lang w:val="en-US" w:eastAsia="zh-CN"/>
        </w:rPr>
      </w:pPr>
      <w:r>
        <w:rPr>
          <w:rFonts w:hint="default" w:ascii="仿宋_GB2312" w:hAnsi="仿宋_GB2312" w:eastAsia="仿宋_GB2312" w:cs="仿宋_GB2312"/>
          <w:bCs/>
          <w:snapToGrid w:val="0"/>
          <w:kern w:val="0"/>
          <w:sz w:val="32"/>
          <w:szCs w:val="32"/>
          <w:highlight w:val="none"/>
          <w:lang w:val="en-US" w:eastAsia="zh-CN"/>
        </w:rPr>
        <w:t>在全校范围内组织举办优秀毕业生风采视频展播活动、职场视频简历与模拟面试大赛、职业生涯规划大赛、互联网+创业大赛活动，累计全院三个年级共有865名学生参与活动中，其中80名优秀选手脱颖而出，</w:t>
      </w:r>
      <w:r>
        <w:rPr>
          <w:rFonts w:hint="eastAsia" w:ascii="仿宋_GB2312" w:hAnsi="仿宋_GB2312" w:eastAsia="仿宋_GB2312" w:cs="仿宋_GB2312"/>
          <w:bCs/>
          <w:snapToGrid w:val="0"/>
          <w:kern w:val="0"/>
          <w:sz w:val="32"/>
          <w:szCs w:val="32"/>
          <w:highlight w:val="none"/>
          <w:lang w:val="en-US" w:eastAsia="zh-CN"/>
        </w:rPr>
        <w:t>等2023年春季进行线下决赛</w:t>
      </w:r>
      <w:r>
        <w:rPr>
          <w:rFonts w:hint="default" w:ascii="仿宋_GB2312" w:hAnsi="仿宋_GB2312" w:eastAsia="仿宋_GB2312" w:cs="仿宋_GB2312"/>
          <w:bCs/>
          <w:snapToGrid w:val="0"/>
          <w:kern w:val="0"/>
          <w:sz w:val="32"/>
          <w:szCs w:val="32"/>
          <w:highlight w:val="none"/>
          <w:lang w:val="en-US" w:eastAsia="zh-CN"/>
        </w:rPr>
        <w:t>。同时在第八届互联网+创新创业大赛</w:t>
      </w:r>
      <w:r>
        <w:rPr>
          <w:rFonts w:hint="eastAsia" w:ascii="仿宋_GB2312" w:hAnsi="仿宋_GB2312" w:eastAsia="仿宋_GB2312" w:cs="仿宋_GB2312"/>
          <w:bCs/>
          <w:snapToGrid w:val="0"/>
          <w:kern w:val="0"/>
          <w:sz w:val="32"/>
          <w:szCs w:val="32"/>
          <w:highlight w:val="none"/>
          <w:lang w:val="en-US" w:eastAsia="zh-CN"/>
        </w:rPr>
        <w:t>荣获</w:t>
      </w:r>
      <w:r>
        <w:rPr>
          <w:rFonts w:hint="default" w:ascii="仿宋_GB2312" w:hAnsi="仿宋_GB2312" w:eastAsia="仿宋_GB2312" w:cs="仿宋_GB2312"/>
          <w:bCs/>
          <w:snapToGrid w:val="0"/>
          <w:kern w:val="0"/>
          <w:sz w:val="32"/>
          <w:szCs w:val="32"/>
          <w:highlight w:val="none"/>
          <w:lang w:val="en-US" w:eastAsia="zh-CN"/>
        </w:rPr>
        <w:t>铜奖。通过主题教育活动和赛事实战，使学生以赛促学，以赛代练，提升</w:t>
      </w:r>
      <w:r>
        <w:rPr>
          <w:rFonts w:hint="eastAsia" w:ascii="仿宋_GB2312" w:hAnsi="仿宋_GB2312" w:eastAsia="仿宋_GB2312" w:cs="仿宋_GB2312"/>
          <w:bCs/>
          <w:snapToGrid w:val="0"/>
          <w:kern w:val="0"/>
          <w:sz w:val="32"/>
          <w:szCs w:val="32"/>
          <w:highlight w:val="none"/>
          <w:lang w:val="en-US" w:eastAsia="zh-CN"/>
        </w:rPr>
        <w:t>了</w:t>
      </w:r>
      <w:r>
        <w:rPr>
          <w:rFonts w:hint="default" w:ascii="仿宋_GB2312" w:hAnsi="仿宋_GB2312" w:eastAsia="仿宋_GB2312" w:cs="仿宋_GB2312"/>
          <w:bCs/>
          <w:snapToGrid w:val="0"/>
          <w:kern w:val="0"/>
          <w:sz w:val="32"/>
          <w:szCs w:val="32"/>
          <w:highlight w:val="none"/>
          <w:lang w:val="en-US" w:eastAsia="zh-CN"/>
        </w:rPr>
        <w:t>学生求职信心和能力。</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highlight w:val="none"/>
          <w:lang w:val="en-US" w:eastAsia="zh-CN"/>
        </w:rPr>
      </w:pPr>
      <w:r>
        <w:rPr>
          <w:rFonts w:hint="default" w:ascii="仿宋_GB2312" w:hAnsi="仿宋_GB2312" w:eastAsia="仿宋_GB2312" w:cs="仿宋_GB2312"/>
          <w:bCs/>
          <w:snapToGrid w:val="0"/>
          <w:kern w:val="0"/>
          <w:sz w:val="32"/>
          <w:szCs w:val="32"/>
          <w:highlight w:val="none"/>
          <w:lang w:val="en-US" w:eastAsia="zh-CN"/>
        </w:rPr>
        <w:t>针对家庭经济困难、少数民族、残疾等重点群体毕业生，完善实施《辽宁广告职业学院困难毕业生就业帮扶制度》。就业部门和各二级院系积极联动，组织开展“毕业生求职意向调查”“毕业未就业学生情况案例分析”等多项调查和分析工作，逐一梳理重点群体毕业生信息，建立重点群体毕业生信息库，准确掌握学生信息，建立“一人一卡”帮扶台账，落实帮扶责任人，精准推送就业岗位信息不少于3个。经济帮扶方面为家庭困难学生27人发放求职创业补贴2.7万。2022届重点群体就业去向落实率均高于全校平均值，困难毕业生群体204人，毕业去向落实率为97.06%。</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val="0"/>
          <w:bCs/>
          <w:snapToGrid w:val="0"/>
          <w:kern w:val="0"/>
          <w:sz w:val="32"/>
          <w:szCs w:val="32"/>
          <w:lang w:val="en-US" w:eastAsia="zh-CN"/>
        </w:rPr>
      </w:pPr>
      <w:r>
        <w:rPr>
          <w:rFonts w:hint="eastAsia" w:ascii="楷体_GB2312" w:hAnsi="楷体_GB2312" w:eastAsia="楷体_GB2312" w:cs="楷体_GB2312"/>
          <w:b w:val="0"/>
          <w:bCs/>
          <w:snapToGrid w:val="0"/>
          <w:kern w:val="0"/>
          <w:sz w:val="32"/>
          <w:szCs w:val="32"/>
          <w:lang w:val="en-US" w:eastAsia="zh-CN"/>
        </w:rPr>
        <w:t>（四）师德师风建设</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学</w:t>
      </w:r>
      <w:r>
        <w:rPr>
          <w:rFonts w:hint="default" w:ascii="仿宋_GB2312" w:hAnsi="仿宋_GB2312" w:eastAsia="仿宋_GB2312" w:cs="仿宋_GB2312"/>
          <w:bCs/>
          <w:snapToGrid w:val="0"/>
          <w:kern w:val="0"/>
          <w:sz w:val="32"/>
          <w:szCs w:val="32"/>
          <w:lang w:val="en-US" w:eastAsia="zh-CN"/>
        </w:rPr>
        <w:t>院坚持把师德师风作为评价教职工队伍素质的第一标准，紧紧围绕立德树人根本任务，以争做“四有”好老师，当好“四个引路人”为导向，丰富活动内容、充分发挥先进典型的示范引领作用，着力建设高素质高职院校教职工队伍。2022年11月，人事劳资处组织召开了2022年度抗疫优秀人员表彰大会。表彰大会通过对过去10个多月教职工参与抗疫工作展开总结，对优秀抗疫教职工表奖。树立典型，起到示范引领作用。校园封闭管理期间，先后组建了由200余名教职员组成的教职工志愿者服务队伍，在封闭校园内，开展了一系列志愿服务活动，展示了良好的广院教职工的师德风貌，增进了师生间情谊。</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2022年6月，人事劳资处与各教学部共同开展辽宁省教书育人模范推荐工作，通过参评活动，进一步增强教师的责任感、使命感、荣誉感，引导教师自觉将师德规范内化为自我修养。学院始终将党史学习教育与师德师风建设一体推进、贯通结合。根据党委工作部署，人事劳资处作为党委教师工作部合署办公部门组织教职工集体收看党的二十大开幕会实况直播，参加学院升旗观礼活动、参观学院抗疫展等，生动开展党史学习教育，引导教师学史明理、学史增信、学史崇德、学史力行，做新时代好教师。我院将师德要求纳入学院年度考核等各类考核指标体系，本年度未发生不良社会影响的师德师风事件。</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napToGrid w:val="0"/>
          <w:kern w:val="0"/>
          <w:sz w:val="32"/>
          <w:szCs w:val="32"/>
          <w:lang w:val="en-US" w:eastAsia="zh-CN"/>
        </w:rPr>
      </w:pPr>
      <w:r>
        <w:rPr>
          <w:rFonts w:hint="eastAsia" w:ascii="黑体" w:hAnsi="黑体" w:eastAsia="黑体" w:cs="黑体"/>
          <w:bCs/>
          <w:snapToGrid w:val="0"/>
          <w:kern w:val="0"/>
          <w:sz w:val="32"/>
          <w:szCs w:val="32"/>
          <w:lang w:val="en-US" w:eastAsia="zh-CN"/>
        </w:rPr>
        <w:t>六、师生权益保障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（一）教师权益保障</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遵循教师成长规律，面向全体教师，以提高职业道德和技能教学改革水平为目标，着力培养具有高尚师德、全面能力、善于开拓创新的教师队伍。学院教师职工工资能够按时发放，教职工入职后签订劳动合同，向登记机关备案。按规定缴纳养老、失业、工伤、医疗、生育、补充工伤保险、住房公积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（二）学生权益保障</w:t>
      </w:r>
    </w:p>
    <w:p>
      <w:pPr>
        <w:keepNext w:val="0"/>
        <w:keepLines w:val="0"/>
        <w:pageBreakBefore w:val="0"/>
        <w:widowControl w:val="0"/>
        <w:tabs>
          <w:tab w:val="left" w:pos="3933"/>
        </w:tabs>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default" w:ascii="仿宋_GB2312" w:hAnsi="仿宋_GB2312" w:eastAsia="仿宋_GB2312" w:cs="仿宋_GB2312"/>
          <w:bCs/>
          <w:snapToGrid w:val="0"/>
          <w:kern w:val="0"/>
          <w:sz w:val="32"/>
          <w:szCs w:val="32"/>
          <w:lang w:val="en-US" w:eastAsia="zh-CN"/>
        </w:rPr>
        <w:t>学院成立院级、系级、班级领导小组。坚持全程公正、公开、透明严格按照程序，规范操作。确保每一笔资助资金都按时、足额发放到了受资助学生手中。按照资助政策文件要求结合学院实际，先后出台制定了《辽宁广告职业学院关于建立家庭经济困难学生资助工作政策体系的意见》《辽宁广告职业学院关于国家、省政府奖学金评审发放实施办法》《辽宁广告职业学院关于国家助学金评审发放实施办法》《辽宁广告职业学院关于国家励志奖学金评审发放实施办法》等一系列奖助学金评审发放实施办法。细化了工作分工，明确了规则职责，形成了议事制度，解决了实际问题，有效促进了资助工作制度化、规范化，保障学生资助工作有序开展。2022年我</w:t>
      </w:r>
      <w:r>
        <w:rPr>
          <w:rFonts w:hint="eastAsia" w:ascii="仿宋_GB2312" w:hAnsi="仿宋_GB2312" w:eastAsia="仿宋_GB2312" w:cs="仿宋_GB2312"/>
          <w:bCs/>
          <w:snapToGrid w:val="0"/>
          <w:kern w:val="0"/>
          <w:sz w:val="32"/>
          <w:szCs w:val="32"/>
          <w:lang w:val="en-US" w:eastAsia="zh-CN"/>
        </w:rPr>
        <w:t>校</w:t>
      </w:r>
      <w:r>
        <w:rPr>
          <w:rFonts w:hint="default" w:ascii="仿宋_GB2312" w:hAnsi="仿宋_GB2312" w:eastAsia="仿宋_GB2312" w:cs="仿宋_GB2312"/>
          <w:bCs/>
          <w:snapToGrid w:val="0"/>
          <w:kern w:val="0"/>
          <w:sz w:val="32"/>
          <w:szCs w:val="32"/>
          <w:lang w:val="en-US" w:eastAsia="zh-CN"/>
        </w:rPr>
        <w:t>下发国家省政府奖学金5人，国家奖学金6人，励志奖学金290人，一等助学金425人，二等助学金851人。2022年学院一等奖学金36人，二等奖学金72人，三等奖学金195人，德育奖学金50人。全部按照学院和国家要求进行足额发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202</w:t>
      </w:r>
      <w:r>
        <w:rPr>
          <w:rFonts w:hint="eastAsia" w:ascii="仿宋_GB2312" w:hAnsi="仿宋" w:eastAsia="仿宋_GB2312" w:cs="仿宋"/>
          <w:sz w:val="32"/>
          <w:szCs w:val="32"/>
          <w:lang w:val="en-US" w:eastAsia="zh-CN"/>
        </w:rPr>
        <w:t>2</w:t>
      </w:r>
      <w:r>
        <w:rPr>
          <w:rFonts w:hint="default" w:ascii="仿宋_GB2312" w:hAnsi="仿宋" w:eastAsia="仿宋_GB2312" w:cs="仿宋"/>
          <w:sz w:val="32"/>
          <w:szCs w:val="32"/>
          <w:lang w:val="en-US" w:eastAsia="zh-CN"/>
        </w:rPr>
        <w:t>年学院建校已2</w:t>
      </w:r>
      <w:r>
        <w:rPr>
          <w:rFonts w:hint="eastAsia" w:ascii="仿宋_GB2312" w:hAnsi="仿宋" w:eastAsia="仿宋_GB2312" w:cs="仿宋"/>
          <w:sz w:val="32"/>
          <w:szCs w:val="32"/>
          <w:lang w:val="en-US" w:eastAsia="zh-CN"/>
        </w:rPr>
        <w:t>9</w:t>
      </w:r>
      <w:r>
        <w:rPr>
          <w:rFonts w:hint="default" w:ascii="仿宋_GB2312" w:hAnsi="仿宋" w:eastAsia="仿宋_GB2312" w:cs="仿宋"/>
          <w:sz w:val="32"/>
          <w:szCs w:val="32"/>
          <w:lang w:val="en-US" w:eastAsia="zh-CN"/>
        </w:rPr>
        <w:t>年，本着“办学瞄准市场、专业面向市场、教学适应市场”的办学理念，形成了自己的办学特色。一是“五位一体”教学体系，全面展现教育教改成效，体现了学院面向市场办学的教学模式。二是“四对接”创新教育，激活了学院的办学活力。三是“校企合作”就业模式，打通高职人才成长路径。四是“二元互导”管理模式，全面提升教育管理水平。</w:t>
      </w:r>
    </w:p>
    <w:p>
      <w:pPr>
        <w:keepNext w:val="0"/>
        <w:keepLines w:val="0"/>
        <w:pageBreakBefore w:val="0"/>
        <w:widowControl w:val="0"/>
        <w:tabs>
          <w:tab w:val="left" w:pos="3933"/>
        </w:tabs>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在今后的工作中学院将</w:t>
      </w:r>
      <w:r>
        <w:rPr>
          <w:rFonts w:hint="default" w:ascii="仿宋_GB2312" w:hAnsi="仿宋_GB2312" w:eastAsia="仿宋_GB2312" w:cs="仿宋_GB2312"/>
          <w:bCs/>
          <w:snapToGrid w:val="0"/>
          <w:kern w:val="0"/>
          <w:sz w:val="32"/>
          <w:szCs w:val="32"/>
          <w:lang w:val="en-US" w:eastAsia="zh-CN"/>
        </w:rPr>
        <w:t>在推动实现辽宁全面振兴新突破上彰显担当作为</w:t>
      </w:r>
      <w:r>
        <w:rPr>
          <w:rFonts w:hint="eastAsia" w:ascii="仿宋_GB2312" w:hAnsi="仿宋_GB2312" w:eastAsia="仿宋_GB2312" w:cs="仿宋_GB2312"/>
          <w:bCs/>
          <w:snapToGrid w:val="0"/>
          <w:kern w:val="0"/>
          <w:sz w:val="32"/>
          <w:szCs w:val="32"/>
          <w:lang w:val="en-US" w:eastAsia="zh-CN"/>
        </w:rPr>
        <w:t>，</w:t>
      </w:r>
      <w:r>
        <w:rPr>
          <w:rFonts w:hint="default" w:ascii="仿宋_GB2312" w:hAnsi="仿宋_GB2312" w:eastAsia="仿宋_GB2312" w:cs="仿宋_GB2312"/>
          <w:bCs/>
          <w:snapToGrid w:val="0"/>
          <w:kern w:val="0"/>
          <w:sz w:val="32"/>
          <w:szCs w:val="32"/>
          <w:lang w:val="en-US" w:eastAsia="zh-CN"/>
        </w:rPr>
        <w:t>切实解放思想，用新发展理念指导办学实践，更新办校治校视野。坚持“眼睛向外看”，向同行学习，向行业请教，在国家、行业、学校事业高质量发展的坐标系中“寻位”“找点”，不断增强“跳出学校看学校、立足学校办学校”的能力。以“专业建设年”为主题主线，以产教融合、校企合作为主攻方向，举办校庆30周年为重要契机，以服务师生发展为根本目的，切实提升教育教学质量和服务振兴发展能力。</w:t>
      </w: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p>
    <w:p>
      <w:pPr>
        <w:keepNext w:val="0"/>
        <w:keepLines w:val="0"/>
        <w:pageBreakBefore w:val="0"/>
        <w:tabs>
          <w:tab w:val="left" w:pos="3933"/>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napToGrid w:val="0"/>
          <w:kern w:val="0"/>
          <w:sz w:val="32"/>
          <w:szCs w:val="32"/>
          <w:lang w:val="en-US" w:eastAsia="zh-CN"/>
        </w:rPr>
      </w:pPr>
    </w:p>
    <w:p>
      <w:pPr>
        <w:keepNext w:val="0"/>
        <w:keepLines w:val="0"/>
        <w:pageBreakBefore w:val="0"/>
        <w:tabs>
          <w:tab w:val="left" w:pos="3933"/>
        </w:tabs>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 xml:space="preserve">辽宁广告职业学院  </w:t>
      </w:r>
    </w:p>
    <w:p>
      <w:pPr>
        <w:keepNext w:val="0"/>
        <w:keepLines w:val="0"/>
        <w:pageBreakBefore w:val="0"/>
        <w:tabs>
          <w:tab w:val="left" w:pos="3933"/>
        </w:tabs>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 xml:space="preserve">2023年2月27日  </w:t>
      </w:r>
    </w:p>
    <w:p>
      <w:pPr>
        <w:rPr>
          <w:rFonts w:hint="eastAsia" w:ascii="黑体" w:hAnsi="黑体" w:eastAsia="黑体"/>
          <w:sz w:val="32"/>
          <w:szCs w:val="32"/>
        </w:rPr>
      </w:pPr>
    </w:p>
    <w:sectPr>
      <w:footerReference r:id="rId3" w:type="default"/>
      <w:pgSz w:w="11906" w:h="16838"/>
      <w:pgMar w:top="1440" w:right="1440" w:bottom="1440" w:left="1440" w:header="851" w:footer="66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488923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jQ4MWJjZTdjMjZjZjhlNDgyNzZlNWNjYzBmMTYifQ=="/>
  </w:docVars>
  <w:rsids>
    <w:rsidRoot w:val="00420AE4"/>
    <w:rsid w:val="00016D76"/>
    <w:rsid w:val="00085805"/>
    <w:rsid w:val="000A0333"/>
    <w:rsid w:val="000A55CD"/>
    <w:rsid w:val="00110864"/>
    <w:rsid w:val="001C1232"/>
    <w:rsid w:val="001D1A14"/>
    <w:rsid w:val="001E6A4D"/>
    <w:rsid w:val="00201354"/>
    <w:rsid w:val="0022137A"/>
    <w:rsid w:val="00240A9B"/>
    <w:rsid w:val="00256B6F"/>
    <w:rsid w:val="00265AB1"/>
    <w:rsid w:val="00277B1A"/>
    <w:rsid w:val="00280A35"/>
    <w:rsid w:val="00282FE0"/>
    <w:rsid w:val="002835C9"/>
    <w:rsid w:val="002B0D50"/>
    <w:rsid w:val="003003C2"/>
    <w:rsid w:val="00310BBC"/>
    <w:rsid w:val="003153AB"/>
    <w:rsid w:val="00337D66"/>
    <w:rsid w:val="00360A42"/>
    <w:rsid w:val="003711B3"/>
    <w:rsid w:val="003A5692"/>
    <w:rsid w:val="003C14F4"/>
    <w:rsid w:val="003D2F60"/>
    <w:rsid w:val="003D7FFA"/>
    <w:rsid w:val="00420AE4"/>
    <w:rsid w:val="004A308F"/>
    <w:rsid w:val="0050010F"/>
    <w:rsid w:val="00504D07"/>
    <w:rsid w:val="00506CC9"/>
    <w:rsid w:val="00564750"/>
    <w:rsid w:val="005C1D16"/>
    <w:rsid w:val="005D7670"/>
    <w:rsid w:val="00601379"/>
    <w:rsid w:val="0066420B"/>
    <w:rsid w:val="0067312D"/>
    <w:rsid w:val="006D3B23"/>
    <w:rsid w:val="006E71A0"/>
    <w:rsid w:val="006F6B6C"/>
    <w:rsid w:val="00730FD0"/>
    <w:rsid w:val="007572B4"/>
    <w:rsid w:val="0076685F"/>
    <w:rsid w:val="007823A4"/>
    <w:rsid w:val="007C162F"/>
    <w:rsid w:val="007D55BD"/>
    <w:rsid w:val="007D7330"/>
    <w:rsid w:val="008101E6"/>
    <w:rsid w:val="00820488"/>
    <w:rsid w:val="00826523"/>
    <w:rsid w:val="008301B3"/>
    <w:rsid w:val="00834A08"/>
    <w:rsid w:val="008701DB"/>
    <w:rsid w:val="008741AF"/>
    <w:rsid w:val="008A3F1D"/>
    <w:rsid w:val="008B533B"/>
    <w:rsid w:val="008C67B7"/>
    <w:rsid w:val="00902C29"/>
    <w:rsid w:val="00907A2B"/>
    <w:rsid w:val="0093123B"/>
    <w:rsid w:val="00932D64"/>
    <w:rsid w:val="00940656"/>
    <w:rsid w:val="0094793B"/>
    <w:rsid w:val="009649C1"/>
    <w:rsid w:val="00985260"/>
    <w:rsid w:val="00987CE8"/>
    <w:rsid w:val="009A60CB"/>
    <w:rsid w:val="009B597C"/>
    <w:rsid w:val="00A62412"/>
    <w:rsid w:val="00A642D6"/>
    <w:rsid w:val="00A66A48"/>
    <w:rsid w:val="00A71F5D"/>
    <w:rsid w:val="00A77543"/>
    <w:rsid w:val="00A80E6F"/>
    <w:rsid w:val="00A84862"/>
    <w:rsid w:val="00A859C2"/>
    <w:rsid w:val="00B00DD6"/>
    <w:rsid w:val="00B135A1"/>
    <w:rsid w:val="00B168F0"/>
    <w:rsid w:val="00B5772B"/>
    <w:rsid w:val="00B969EF"/>
    <w:rsid w:val="00BB4B65"/>
    <w:rsid w:val="00BC3D92"/>
    <w:rsid w:val="00C50018"/>
    <w:rsid w:val="00C65278"/>
    <w:rsid w:val="00C75896"/>
    <w:rsid w:val="00CA4633"/>
    <w:rsid w:val="00CD2993"/>
    <w:rsid w:val="00CD337A"/>
    <w:rsid w:val="00CD6FF9"/>
    <w:rsid w:val="00CF3DC1"/>
    <w:rsid w:val="00D04539"/>
    <w:rsid w:val="00D063FB"/>
    <w:rsid w:val="00D34B97"/>
    <w:rsid w:val="00D438CF"/>
    <w:rsid w:val="00D53929"/>
    <w:rsid w:val="00D8015F"/>
    <w:rsid w:val="00DC6C71"/>
    <w:rsid w:val="00DD095C"/>
    <w:rsid w:val="00E10465"/>
    <w:rsid w:val="00E27585"/>
    <w:rsid w:val="00E450D7"/>
    <w:rsid w:val="00E75194"/>
    <w:rsid w:val="00E81130"/>
    <w:rsid w:val="00EB02DC"/>
    <w:rsid w:val="00EC1980"/>
    <w:rsid w:val="00EC63B8"/>
    <w:rsid w:val="00EE06E4"/>
    <w:rsid w:val="00F01104"/>
    <w:rsid w:val="00F50186"/>
    <w:rsid w:val="00F57010"/>
    <w:rsid w:val="00F60FC9"/>
    <w:rsid w:val="00F72583"/>
    <w:rsid w:val="00F74A25"/>
    <w:rsid w:val="00F85EAF"/>
    <w:rsid w:val="00F97C59"/>
    <w:rsid w:val="00FA622B"/>
    <w:rsid w:val="00FC0681"/>
    <w:rsid w:val="00FC6801"/>
    <w:rsid w:val="00FC76CE"/>
    <w:rsid w:val="00FF4984"/>
    <w:rsid w:val="00FF5A13"/>
    <w:rsid w:val="02693733"/>
    <w:rsid w:val="02763245"/>
    <w:rsid w:val="036F2FCB"/>
    <w:rsid w:val="03AE6494"/>
    <w:rsid w:val="05700ACB"/>
    <w:rsid w:val="05C310BF"/>
    <w:rsid w:val="06D82C35"/>
    <w:rsid w:val="07177C01"/>
    <w:rsid w:val="074F4623"/>
    <w:rsid w:val="077B29FF"/>
    <w:rsid w:val="07886409"/>
    <w:rsid w:val="08163A15"/>
    <w:rsid w:val="0817778D"/>
    <w:rsid w:val="0822685D"/>
    <w:rsid w:val="08A819AF"/>
    <w:rsid w:val="09097F8E"/>
    <w:rsid w:val="091C4A6B"/>
    <w:rsid w:val="09C86F91"/>
    <w:rsid w:val="0B811AED"/>
    <w:rsid w:val="0BE12940"/>
    <w:rsid w:val="0C8748EC"/>
    <w:rsid w:val="0CA37841"/>
    <w:rsid w:val="0CC270AD"/>
    <w:rsid w:val="0E2A44C3"/>
    <w:rsid w:val="0E2F5189"/>
    <w:rsid w:val="0E5A5605"/>
    <w:rsid w:val="0E855450"/>
    <w:rsid w:val="101E61AE"/>
    <w:rsid w:val="108E19CD"/>
    <w:rsid w:val="11812847"/>
    <w:rsid w:val="11A15369"/>
    <w:rsid w:val="122359BE"/>
    <w:rsid w:val="12545238"/>
    <w:rsid w:val="12C72A0D"/>
    <w:rsid w:val="139D38DB"/>
    <w:rsid w:val="14FB6B9D"/>
    <w:rsid w:val="15FA4976"/>
    <w:rsid w:val="16A36DBB"/>
    <w:rsid w:val="16AC7721"/>
    <w:rsid w:val="16DD77C7"/>
    <w:rsid w:val="18095209"/>
    <w:rsid w:val="187B3D57"/>
    <w:rsid w:val="18AB1F57"/>
    <w:rsid w:val="19622F5E"/>
    <w:rsid w:val="19AA2A82"/>
    <w:rsid w:val="1A0A093F"/>
    <w:rsid w:val="1B610FF3"/>
    <w:rsid w:val="1B79633D"/>
    <w:rsid w:val="1D424E5C"/>
    <w:rsid w:val="1D641DA6"/>
    <w:rsid w:val="1D9E68BF"/>
    <w:rsid w:val="1E1C064C"/>
    <w:rsid w:val="1EBD0C36"/>
    <w:rsid w:val="202645B9"/>
    <w:rsid w:val="20A57BD4"/>
    <w:rsid w:val="22322E8D"/>
    <w:rsid w:val="22AF6E32"/>
    <w:rsid w:val="24311EAA"/>
    <w:rsid w:val="249904EF"/>
    <w:rsid w:val="26396D26"/>
    <w:rsid w:val="267B565F"/>
    <w:rsid w:val="26E734B9"/>
    <w:rsid w:val="27D51CD8"/>
    <w:rsid w:val="28956780"/>
    <w:rsid w:val="28EA049C"/>
    <w:rsid w:val="29626662"/>
    <w:rsid w:val="29CD5503"/>
    <w:rsid w:val="2A7C3754"/>
    <w:rsid w:val="2AD90BA6"/>
    <w:rsid w:val="2B1E480B"/>
    <w:rsid w:val="2B5E6AA0"/>
    <w:rsid w:val="2C3170B0"/>
    <w:rsid w:val="2D376058"/>
    <w:rsid w:val="2D5B1D46"/>
    <w:rsid w:val="2D6D7CCB"/>
    <w:rsid w:val="2E2A1718"/>
    <w:rsid w:val="2E304F81"/>
    <w:rsid w:val="2E6349DF"/>
    <w:rsid w:val="2F257E9C"/>
    <w:rsid w:val="2F272802"/>
    <w:rsid w:val="305B586A"/>
    <w:rsid w:val="314306AD"/>
    <w:rsid w:val="32D85BE7"/>
    <w:rsid w:val="337C126A"/>
    <w:rsid w:val="35643762"/>
    <w:rsid w:val="35C16E06"/>
    <w:rsid w:val="361F5151"/>
    <w:rsid w:val="36AC3612"/>
    <w:rsid w:val="36D1016F"/>
    <w:rsid w:val="36E25286"/>
    <w:rsid w:val="36E508D2"/>
    <w:rsid w:val="36FC6348"/>
    <w:rsid w:val="370E441D"/>
    <w:rsid w:val="37436243"/>
    <w:rsid w:val="393F076E"/>
    <w:rsid w:val="3A15488F"/>
    <w:rsid w:val="3A8B0C83"/>
    <w:rsid w:val="3ABA3E46"/>
    <w:rsid w:val="3AD15AFF"/>
    <w:rsid w:val="3BD95185"/>
    <w:rsid w:val="3C7249B6"/>
    <w:rsid w:val="3D864BBD"/>
    <w:rsid w:val="3EC82FB3"/>
    <w:rsid w:val="3F1B30E3"/>
    <w:rsid w:val="3F823BA8"/>
    <w:rsid w:val="40A23390"/>
    <w:rsid w:val="41801A9A"/>
    <w:rsid w:val="41EC6FB9"/>
    <w:rsid w:val="41FA3C1F"/>
    <w:rsid w:val="42424448"/>
    <w:rsid w:val="43432C09"/>
    <w:rsid w:val="435E3EE6"/>
    <w:rsid w:val="43895FEF"/>
    <w:rsid w:val="43DB3530"/>
    <w:rsid w:val="45047A14"/>
    <w:rsid w:val="4601100F"/>
    <w:rsid w:val="46AA1F0E"/>
    <w:rsid w:val="477A449C"/>
    <w:rsid w:val="47863A0C"/>
    <w:rsid w:val="47980BFB"/>
    <w:rsid w:val="4960094F"/>
    <w:rsid w:val="4A7364C9"/>
    <w:rsid w:val="4A993A56"/>
    <w:rsid w:val="4B1E446E"/>
    <w:rsid w:val="4D2C52EE"/>
    <w:rsid w:val="4D5647BE"/>
    <w:rsid w:val="4DB417C0"/>
    <w:rsid w:val="4F4225F7"/>
    <w:rsid w:val="4F7D4CA2"/>
    <w:rsid w:val="500E4CA2"/>
    <w:rsid w:val="50822FAF"/>
    <w:rsid w:val="50A8054F"/>
    <w:rsid w:val="512978E2"/>
    <w:rsid w:val="51830E34"/>
    <w:rsid w:val="527B23BF"/>
    <w:rsid w:val="544D38E7"/>
    <w:rsid w:val="55D40A64"/>
    <w:rsid w:val="55EB5A70"/>
    <w:rsid w:val="564E7DEA"/>
    <w:rsid w:val="568B6949"/>
    <w:rsid w:val="580E62AD"/>
    <w:rsid w:val="583354EA"/>
    <w:rsid w:val="5A785436"/>
    <w:rsid w:val="5A9F11C9"/>
    <w:rsid w:val="5C300B89"/>
    <w:rsid w:val="5D5201C0"/>
    <w:rsid w:val="60001041"/>
    <w:rsid w:val="60F375C4"/>
    <w:rsid w:val="60FF240D"/>
    <w:rsid w:val="63AA7B12"/>
    <w:rsid w:val="64485E79"/>
    <w:rsid w:val="650E7F20"/>
    <w:rsid w:val="652C1793"/>
    <w:rsid w:val="654A1CE2"/>
    <w:rsid w:val="65E04159"/>
    <w:rsid w:val="67B97D6B"/>
    <w:rsid w:val="67CF0FD1"/>
    <w:rsid w:val="68DC3034"/>
    <w:rsid w:val="68F1606D"/>
    <w:rsid w:val="6971090C"/>
    <w:rsid w:val="6A8B4D12"/>
    <w:rsid w:val="6B0A1A3F"/>
    <w:rsid w:val="6C8D4D71"/>
    <w:rsid w:val="6D5629C7"/>
    <w:rsid w:val="6D6D06FE"/>
    <w:rsid w:val="6EC66318"/>
    <w:rsid w:val="6F3040D9"/>
    <w:rsid w:val="71CF1988"/>
    <w:rsid w:val="72023B0B"/>
    <w:rsid w:val="7331385D"/>
    <w:rsid w:val="73D8585A"/>
    <w:rsid w:val="75D05CCE"/>
    <w:rsid w:val="75FF0242"/>
    <w:rsid w:val="78D322B7"/>
    <w:rsid w:val="793C34CF"/>
    <w:rsid w:val="7A163075"/>
    <w:rsid w:val="7CD26D62"/>
    <w:rsid w:val="7CE6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D82F4-0260-4DF4-B580-44E6CB14EC37}">
  <ds:schemaRefs/>
</ds:datastoreItem>
</file>

<file path=docProps/app.xml><?xml version="1.0" encoding="utf-8"?>
<Properties xmlns="http://schemas.openxmlformats.org/officeDocument/2006/extended-properties" xmlns:vt="http://schemas.openxmlformats.org/officeDocument/2006/docPropsVTypes">
  <Template>Normal</Template>
  <Pages>36</Pages>
  <Words>18810</Words>
  <Characters>19352</Characters>
  <Lines>128</Lines>
  <Paragraphs>36</Paragraphs>
  <TotalTime>30</TotalTime>
  <ScaleCrop>false</ScaleCrop>
  <LinksUpToDate>false</LinksUpToDate>
  <CharactersWithSpaces>19434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2022-04-11T17:27:00Z</dcterms:created>
  <dc:creator>SUNV</dc:creator>
  <cp:lastModifiedBy>猫</cp:lastModifiedBy>
  <cp:lastPrinted>2021-04-29T07:52:00Z</cp:lastPrinted>
  <dcterms:modified xsi:type="dcterms:W3CDTF">2023-11-01T05:32:52Z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525B122AC92F4DF89DFC4A2E048EAF0A</vt:lpwstr>
  </property>
</Properties>
</file>